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5E700"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b/>
          <w:bCs/>
          <w:color w:val="000000" w:themeColor="text1"/>
          <w:szCs w:val="20"/>
          <w:lang w:eastAsia="vi-VN" w:bidi="vi-VN"/>
        </w:rPr>
        <w:t>Phụ lục XI</w:t>
      </w:r>
    </w:p>
    <w:p w14:paraId="199BAD04" w14:textId="77777777" w:rsidR="00C911A0" w:rsidRPr="005223E6" w:rsidRDefault="00C911A0" w:rsidP="00B4267B">
      <w:pPr>
        <w:widowControl w:val="0"/>
        <w:jc w:val="center"/>
        <w:rPr>
          <w:rFonts w:eastAsia="Courier New" w:cs="Arial"/>
          <w:b/>
          <w:color w:val="000000" w:themeColor="text1"/>
          <w:szCs w:val="20"/>
          <w:lang w:eastAsia="vi-VN" w:bidi="vi-VN"/>
        </w:rPr>
      </w:pPr>
      <w:r w:rsidRPr="005223E6">
        <w:rPr>
          <w:rFonts w:eastAsia="Courier New" w:cs="Arial"/>
          <w:b/>
          <w:bCs/>
          <w:color w:val="000000" w:themeColor="text1"/>
          <w:szCs w:val="20"/>
          <w:lang w:eastAsia="vi-VN" w:bidi="vi-VN"/>
        </w:rPr>
        <w:t>ÁP DỤNG QUẢN LÝ RỦI RO VÀO QUẢN LÝ CHẤT LƯỢNG TRONG SẢN</w:t>
      </w:r>
      <w:r w:rsidRPr="005223E6">
        <w:rPr>
          <w:rFonts w:eastAsia="Courier New" w:cs="Arial"/>
          <w:b/>
          <w:bCs/>
          <w:color w:val="000000" w:themeColor="text1"/>
          <w:szCs w:val="20"/>
          <w:lang w:eastAsia="vi-VN" w:bidi="vi-VN"/>
        </w:rPr>
        <w:br/>
        <w:t xml:space="preserve">XUẤT, LẮP RÁP XE, PHỤ TÙNG XE CƠ </w:t>
      </w:r>
      <w:r w:rsidRPr="005223E6">
        <w:rPr>
          <w:rFonts w:eastAsia="Courier New" w:cs="Arial"/>
          <w:b/>
          <w:color w:val="000000" w:themeColor="text1"/>
          <w:szCs w:val="20"/>
          <w:lang w:eastAsia="vi-VN" w:bidi="vi-VN"/>
        </w:rPr>
        <w:t>GIỚI</w:t>
      </w:r>
    </w:p>
    <w:p w14:paraId="044926E8" w14:textId="77777777" w:rsidR="00C911A0" w:rsidRPr="005223E6" w:rsidRDefault="00C911A0" w:rsidP="00B4267B">
      <w:pPr>
        <w:widowControl w:val="0"/>
        <w:jc w:val="center"/>
        <w:rPr>
          <w:rFonts w:eastAsia="Courier New" w:cs="Arial"/>
          <w:i/>
          <w:color w:val="000000" w:themeColor="text1"/>
          <w:szCs w:val="20"/>
          <w:lang w:eastAsia="vi-VN" w:bidi="vi-VN"/>
        </w:rPr>
      </w:pPr>
      <w:r w:rsidRPr="005223E6">
        <w:rPr>
          <w:rFonts w:eastAsia="Courier New" w:cs="Arial"/>
          <w:i/>
          <w:color w:val="000000" w:themeColor="text1"/>
          <w:szCs w:val="20"/>
          <w:lang w:eastAsia="vi-VN" w:bidi="vi-VN"/>
        </w:rPr>
        <w:t>(Ban hành kèm theo Thông tư số 55/2024/TT-BGTVT ngày 15 tháng 11 năm 2024</w:t>
      </w:r>
      <w:r w:rsidRPr="005223E6">
        <w:rPr>
          <w:rFonts w:eastAsia="Courier New" w:cs="Arial"/>
          <w:i/>
          <w:color w:val="000000" w:themeColor="text1"/>
          <w:szCs w:val="20"/>
          <w:lang w:eastAsia="vi-VN" w:bidi="vi-VN"/>
        </w:rPr>
        <w:br/>
        <w:t>của Bộ trưởng Bộ Giao thông vận tải)</w:t>
      </w:r>
    </w:p>
    <w:p w14:paraId="05664B75" w14:textId="77777777" w:rsidR="00C911A0" w:rsidRPr="005223E6" w:rsidRDefault="00C911A0" w:rsidP="00B4267B">
      <w:pPr>
        <w:widowControl w:val="0"/>
        <w:jc w:val="center"/>
        <w:rPr>
          <w:rFonts w:eastAsia="Courier New" w:cs="Arial"/>
          <w:color w:val="000000" w:themeColor="text1"/>
          <w:szCs w:val="20"/>
          <w:vertAlign w:val="superscript"/>
          <w:lang w:eastAsia="vi-VN" w:bidi="vi-VN"/>
        </w:rPr>
      </w:pPr>
      <w:r w:rsidRPr="005223E6">
        <w:rPr>
          <w:rFonts w:eastAsia="Courier New" w:cs="Arial"/>
          <w:color w:val="000000" w:themeColor="text1"/>
          <w:szCs w:val="20"/>
          <w:vertAlign w:val="superscript"/>
          <w:lang w:eastAsia="vi-VN" w:bidi="vi-VN"/>
        </w:rPr>
        <w:t>______________________________</w:t>
      </w:r>
    </w:p>
    <w:p w14:paraId="40696B52" w14:textId="77777777" w:rsidR="00C911A0" w:rsidRPr="005223E6" w:rsidRDefault="00C911A0" w:rsidP="00B4267B">
      <w:pPr>
        <w:widowControl w:val="0"/>
        <w:jc w:val="center"/>
        <w:rPr>
          <w:rFonts w:eastAsia="Courier New" w:cs="Arial"/>
          <w:color w:val="000000" w:themeColor="text1"/>
          <w:szCs w:val="20"/>
          <w:vertAlign w:val="superscript"/>
          <w:lang w:eastAsia="vi-VN" w:bidi="vi-VN"/>
        </w:rPr>
      </w:pPr>
    </w:p>
    <w:p w14:paraId="2746FBE3"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1. Phân nhóm cơ sở sản xuất dựa trên mức độ rủi ro</w:t>
      </w:r>
    </w:p>
    <w:p w14:paraId="6939F7CC"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Cơ quan chứng nhận chất lượng tiến hành phân nhóm cơ sở sản xuất dựa trên mức độ rủi ro như sau:</w:t>
      </w:r>
    </w:p>
    <w:p w14:paraId="6FE4401F"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Nhóm 1 (có mức độ rủi ro thấp): là nhóm các cơ sở sản xuất có số điểm đánh giá đạt điểm A chiếm trên 50% của tổng số điểm đánh giá và không có điểm C.</w:t>
      </w:r>
    </w:p>
    <w:p w14:paraId="227CDE7F"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Nhóm 2 (có mức độ rủi ro trung bình): là nhóm các cơ sở sản xuất có số điểm đánh giá đạt điểm B chiếm trên 50% của tổng số điểm đánh giá số điểm đánh giá hoặc các cơ sở sản xuất không thuộc nhóm 1 và nhóm 3.</w:t>
      </w:r>
    </w:p>
    <w:p w14:paraId="2B708415"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Nhóm 3 (có mức rủi ro cao): là nhóm các cơ sở sản xuất có số điểm đánh giá đạt điểm C chiếm trên 50% của tổng số điểm đánh giá.</w:t>
      </w:r>
    </w:p>
    <w:p w14:paraId="1687DA38"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Bảng điểm đánh giá mức độ rủi ro được quy định tại Bảng 1 dưới đây:</w:t>
      </w:r>
    </w:p>
    <w:p w14:paraId="74CB5FD8" w14:textId="77777777" w:rsidR="00C911A0" w:rsidRPr="005223E6" w:rsidRDefault="00C911A0" w:rsidP="00B4267B">
      <w:pPr>
        <w:widowControl w:val="0"/>
        <w:spacing w:after="120"/>
        <w:jc w:val="center"/>
        <w:rPr>
          <w:rFonts w:eastAsia="Courier New" w:cs="Arial"/>
          <w:b/>
          <w:i/>
          <w:iCs/>
          <w:color w:val="000000" w:themeColor="text1"/>
          <w:szCs w:val="20"/>
          <w:lang w:eastAsia="vi-VN" w:bidi="vi-VN"/>
        </w:rPr>
      </w:pPr>
      <w:r w:rsidRPr="005223E6">
        <w:rPr>
          <w:rFonts w:eastAsia="Courier New" w:cs="Arial"/>
          <w:b/>
          <w:bCs/>
          <w:i/>
          <w:iCs/>
          <w:color w:val="000000" w:themeColor="text1"/>
          <w:szCs w:val="20"/>
          <w:lang w:eastAsia="vi-VN" w:bidi="vi-VN"/>
        </w:rPr>
        <w:t xml:space="preserve">Bảng </w:t>
      </w:r>
      <w:r w:rsidRPr="005223E6">
        <w:rPr>
          <w:rFonts w:eastAsia="Courier New" w:cs="Arial"/>
          <w:b/>
          <w:i/>
          <w:iCs/>
          <w:color w:val="000000" w:themeColor="text1"/>
          <w:szCs w:val="20"/>
          <w:lang w:eastAsia="vi-VN" w:bidi="vi-VN"/>
        </w:rPr>
        <w:t>1</w:t>
      </w:r>
      <w:r w:rsidRPr="005223E6">
        <w:rPr>
          <w:rFonts w:eastAsia="Courier New" w:cs="Arial"/>
          <w:b/>
          <w:color w:val="000000" w:themeColor="text1"/>
          <w:szCs w:val="20"/>
          <w:lang w:eastAsia="vi-VN" w:bidi="vi-VN"/>
        </w:rPr>
        <w:t xml:space="preserve"> - </w:t>
      </w:r>
      <w:r w:rsidRPr="005223E6">
        <w:rPr>
          <w:rFonts w:eastAsia="Courier New" w:cs="Arial"/>
          <w:b/>
          <w:bCs/>
          <w:i/>
          <w:iCs/>
          <w:color w:val="000000" w:themeColor="text1"/>
          <w:szCs w:val="20"/>
          <w:lang w:eastAsia="vi-VN" w:bidi="vi-VN"/>
        </w:rPr>
        <w:t xml:space="preserve">Bảng điểm đánh </w:t>
      </w:r>
      <w:r w:rsidRPr="005223E6">
        <w:rPr>
          <w:rFonts w:eastAsia="Courier New" w:cs="Arial"/>
          <w:b/>
          <w:i/>
          <w:iCs/>
          <w:color w:val="000000" w:themeColor="text1"/>
          <w:szCs w:val="20"/>
          <w:lang w:eastAsia="vi-VN" w:bidi="vi-VN"/>
        </w:rPr>
        <w:t xml:space="preserve">giá </w:t>
      </w:r>
      <w:r w:rsidRPr="005223E6">
        <w:rPr>
          <w:rFonts w:eastAsia="Courier New" w:cs="Arial"/>
          <w:b/>
          <w:bCs/>
          <w:i/>
          <w:iCs/>
          <w:color w:val="000000" w:themeColor="text1"/>
          <w:szCs w:val="20"/>
          <w:lang w:eastAsia="vi-VN" w:bidi="vi-VN"/>
        </w:rPr>
        <w:t xml:space="preserve">mức độ rủi </w:t>
      </w:r>
      <w:r w:rsidRPr="005223E6">
        <w:rPr>
          <w:rFonts w:eastAsia="Courier New" w:cs="Arial"/>
          <w:b/>
          <w:i/>
          <w:iCs/>
          <w:color w:val="000000" w:themeColor="text1"/>
          <w:szCs w:val="20"/>
          <w:lang w:eastAsia="vi-VN" w:bidi="vi-VN"/>
        </w:rPr>
        <w:t>ro</w:t>
      </w:r>
    </w:p>
    <w:tbl>
      <w:tblPr>
        <w:tblOverlap w:val="never"/>
        <w:tblW w:w="5000" w:type="pct"/>
        <w:jc w:val="center"/>
        <w:tblCellMar>
          <w:left w:w="10" w:type="dxa"/>
          <w:right w:w="10" w:type="dxa"/>
        </w:tblCellMar>
        <w:tblLook w:val="0000" w:firstRow="0" w:lastRow="0" w:firstColumn="0" w:lastColumn="0" w:noHBand="0" w:noVBand="0"/>
      </w:tblPr>
      <w:tblGrid>
        <w:gridCol w:w="602"/>
        <w:gridCol w:w="696"/>
        <w:gridCol w:w="5640"/>
        <w:gridCol w:w="643"/>
        <w:gridCol w:w="712"/>
        <w:gridCol w:w="717"/>
      </w:tblGrid>
      <w:tr w:rsidR="005223E6" w:rsidRPr="005223E6" w14:paraId="34F667C7"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3928E8F1"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TT</w:t>
            </w:r>
          </w:p>
        </w:tc>
        <w:tc>
          <w:tcPr>
            <w:tcW w:w="3516" w:type="pct"/>
            <w:gridSpan w:val="2"/>
            <w:vMerge w:val="restart"/>
            <w:tcBorders>
              <w:top w:val="single" w:sz="4" w:space="0" w:color="auto"/>
              <w:left w:val="single" w:sz="4" w:space="0" w:color="auto"/>
            </w:tcBorders>
            <w:shd w:val="clear" w:color="auto" w:fill="FFFFFF"/>
            <w:vAlign w:val="center"/>
          </w:tcPr>
          <w:p w14:paraId="717D289C"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Tiêu chí đánh giá</w:t>
            </w:r>
          </w:p>
        </w:tc>
        <w:tc>
          <w:tcPr>
            <w:tcW w:w="1150" w:type="pct"/>
            <w:gridSpan w:val="3"/>
            <w:tcBorders>
              <w:top w:val="single" w:sz="4" w:space="0" w:color="auto"/>
              <w:left w:val="single" w:sz="4" w:space="0" w:color="auto"/>
              <w:right w:val="single" w:sz="4" w:space="0" w:color="auto"/>
            </w:tcBorders>
            <w:shd w:val="clear" w:color="auto" w:fill="FFFFFF"/>
            <w:vAlign w:val="center"/>
          </w:tcPr>
          <w:p w14:paraId="698BD850"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Điểm đánh giá</w:t>
            </w:r>
            <w:r w:rsidRPr="005223E6">
              <w:rPr>
                <w:rFonts w:eastAsia="Courier New" w:cs="Arial"/>
                <w:i/>
                <w:iCs/>
                <w:color w:val="000000" w:themeColor="text1"/>
                <w:szCs w:val="20"/>
                <w:vertAlign w:val="superscript"/>
                <w:lang w:eastAsia="vi-VN" w:bidi="vi-VN"/>
              </w:rPr>
              <w:t>(1)</w:t>
            </w:r>
          </w:p>
        </w:tc>
      </w:tr>
      <w:tr w:rsidR="005223E6" w:rsidRPr="005223E6" w14:paraId="2C34F04A" w14:textId="77777777" w:rsidTr="00D23B44">
        <w:trPr>
          <w:trHeight w:val="20"/>
          <w:jc w:val="center"/>
        </w:trPr>
        <w:tc>
          <w:tcPr>
            <w:tcW w:w="334" w:type="pct"/>
            <w:vMerge/>
            <w:tcBorders>
              <w:left w:val="single" w:sz="4" w:space="0" w:color="auto"/>
            </w:tcBorders>
            <w:shd w:val="clear" w:color="auto" w:fill="FFFFFF"/>
            <w:vAlign w:val="center"/>
          </w:tcPr>
          <w:p w14:paraId="6BF81AA7"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vMerge/>
            <w:tcBorders>
              <w:left w:val="single" w:sz="4" w:space="0" w:color="auto"/>
            </w:tcBorders>
            <w:shd w:val="clear" w:color="auto" w:fill="FFFFFF"/>
            <w:vAlign w:val="center"/>
          </w:tcPr>
          <w:p w14:paraId="28235EF2" w14:textId="77777777" w:rsidR="00C911A0" w:rsidRPr="005223E6" w:rsidRDefault="00C911A0" w:rsidP="00B4267B">
            <w:pPr>
              <w:widowControl w:val="0"/>
              <w:rPr>
                <w:rFonts w:eastAsia="Courier New" w:cs="Arial"/>
                <w:color w:val="000000" w:themeColor="text1"/>
                <w:szCs w:val="20"/>
                <w:lang w:eastAsia="vi-VN" w:bidi="vi-VN"/>
              </w:rPr>
            </w:pPr>
          </w:p>
        </w:tc>
        <w:tc>
          <w:tcPr>
            <w:tcW w:w="357" w:type="pct"/>
            <w:tcBorders>
              <w:top w:val="single" w:sz="4" w:space="0" w:color="auto"/>
              <w:left w:val="single" w:sz="4" w:space="0" w:color="auto"/>
            </w:tcBorders>
            <w:shd w:val="clear" w:color="auto" w:fill="FFFFFF"/>
            <w:vAlign w:val="center"/>
          </w:tcPr>
          <w:p w14:paraId="6FFE4181"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tcBorders>
            <w:shd w:val="clear" w:color="auto" w:fill="FFFFFF"/>
            <w:vAlign w:val="center"/>
          </w:tcPr>
          <w:p w14:paraId="0823D8AB"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623BD3B0"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458AF176"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05F30933"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I</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57B4937C"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Tiêu chí hạ tầng cơ sở sản xuất, loại sản phẩm sản xuất, lắp ráp</w:t>
            </w:r>
          </w:p>
        </w:tc>
      </w:tr>
      <w:tr w:rsidR="005223E6" w:rsidRPr="005223E6" w14:paraId="54C90BBA"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7E5E078B"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1</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78544ADD"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Địa điểm sản xuất ổn định, lâu dài</w:t>
            </w:r>
          </w:p>
        </w:tc>
      </w:tr>
      <w:tr w:rsidR="005223E6" w:rsidRPr="005223E6" w14:paraId="07597E88"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3FD3B9C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388A237D"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Địa điểm sản xuất có tính ổn định cao, có quyền sử dụng hợp pháp trong thời gian từ 10 năm trở lên.</w:t>
            </w:r>
          </w:p>
        </w:tc>
        <w:tc>
          <w:tcPr>
            <w:tcW w:w="357" w:type="pct"/>
            <w:tcBorders>
              <w:top w:val="single" w:sz="4" w:space="0" w:color="auto"/>
              <w:left w:val="single" w:sz="4" w:space="0" w:color="auto"/>
            </w:tcBorders>
            <w:shd w:val="clear" w:color="auto" w:fill="FFFFFF"/>
            <w:vAlign w:val="center"/>
          </w:tcPr>
          <w:p w14:paraId="26804E59"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tcBorders>
            <w:shd w:val="clear" w:color="auto" w:fill="FFFFFF"/>
            <w:vAlign w:val="center"/>
          </w:tcPr>
          <w:p w14:paraId="234A814E"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7C4F400F"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4AD3ED3D" w14:textId="77777777" w:rsidTr="00D23B44">
        <w:trPr>
          <w:trHeight w:val="20"/>
          <w:jc w:val="center"/>
        </w:trPr>
        <w:tc>
          <w:tcPr>
            <w:tcW w:w="334" w:type="pct"/>
            <w:vMerge/>
            <w:tcBorders>
              <w:left w:val="single" w:sz="4" w:space="0" w:color="auto"/>
            </w:tcBorders>
            <w:shd w:val="clear" w:color="auto" w:fill="FFFFFF"/>
            <w:vAlign w:val="center"/>
          </w:tcPr>
          <w:p w14:paraId="0F57DD48"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38D0DDA3"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Địa điểm sản xuất có tính ổn định trung bình, có quyền sử dụng hợp pháp trong thời gian từ 5 năm đến dưới 10 năm.</w:t>
            </w:r>
          </w:p>
        </w:tc>
        <w:tc>
          <w:tcPr>
            <w:tcW w:w="357" w:type="pct"/>
            <w:tcBorders>
              <w:top w:val="single" w:sz="4" w:space="0" w:color="auto"/>
              <w:left w:val="single" w:sz="4" w:space="0" w:color="auto"/>
            </w:tcBorders>
            <w:shd w:val="clear" w:color="auto" w:fill="FFFFFF"/>
            <w:vAlign w:val="center"/>
          </w:tcPr>
          <w:p w14:paraId="3FD37ED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2FB51881"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5179DB03"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1794462C" w14:textId="77777777" w:rsidTr="00D23B44">
        <w:trPr>
          <w:trHeight w:val="20"/>
          <w:jc w:val="center"/>
        </w:trPr>
        <w:tc>
          <w:tcPr>
            <w:tcW w:w="334" w:type="pct"/>
            <w:vMerge/>
            <w:tcBorders>
              <w:left w:val="single" w:sz="4" w:space="0" w:color="auto"/>
            </w:tcBorders>
            <w:shd w:val="clear" w:color="auto" w:fill="FFFFFF"/>
            <w:vAlign w:val="center"/>
          </w:tcPr>
          <w:p w14:paraId="3F410D4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3DA67D7C"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Địa điểm sản xuất có tính ổn định thấp, có quyền sử dụng hợp pháp trong thời gian dưới 5 năm.</w:t>
            </w:r>
          </w:p>
        </w:tc>
        <w:tc>
          <w:tcPr>
            <w:tcW w:w="357" w:type="pct"/>
            <w:tcBorders>
              <w:top w:val="single" w:sz="4" w:space="0" w:color="auto"/>
              <w:left w:val="single" w:sz="4" w:space="0" w:color="auto"/>
            </w:tcBorders>
            <w:shd w:val="clear" w:color="auto" w:fill="FFFFFF"/>
            <w:vAlign w:val="center"/>
          </w:tcPr>
          <w:p w14:paraId="3728D617"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34A9F43E"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770BB7BA"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413589B5"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2E54B32B"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2</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026A4068"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Quy mô sản xuất theo thiết kế, theo thực tế triển khai dự án</w:t>
            </w:r>
          </w:p>
        </w:tc>
      </w:tr>
      <w:tr w:rsidR="005223E6" w:rsidRPr="005223E6" w14:paraId="00B017A4"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3DF0B9E0"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lượng</w:t>
            </w:r>
          </w:p>
        </w:tc>
        <w:tc>
          <w:tcPr>
            <w:tcW w:w="386" w:type="pct"/>
            <w:vMerge w:val="restart"/>
            <w:tcBorders>
              <w:top w:val="single" w:sz="4" w:space="0" w:color="auto"/>
              <w:left w:val="single" w:sz="4" w:space="0" w:color="auto"/>
            </w:tcBorders>
            <w:shd w:val="clear" w:color="auto" w:fill="FFFFFF"/>
            <w:vAlign w:val="center"/>
          </w:tcPr>
          <w:p w14:paraId="57179E0A"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Lớn</w:t>
            </w:r>
          </w:p>
        </w:tc>
        <w:tc>
          <w:tcPr>
            <w:tcW w:w="3130" w:type="pct"/>
            <w:tcBorders>
              <w:top w:val="single" w:sz="4" w:space="0" w:color="auto"/>
              <w:left w:val="single" w:sz="4" w:space="0" w:color="auto"/>
              <w:bottom w:val="single" w:sz="4" w:space="0" w:color="auto"/>
            </w:tcBorders>
            <w:shd w:val="clear" w:color="auto" w:fill="FFFFFF"/>
            <w:vAlign w:val="center"/>
          </w:tcPr>
          <w:p w14:paraId="4016D367"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nhiều loại ô tô từ 10.000 xe/năm trở lên; hoặc chỉ sản xuất ô tô con từ 10.000 xe/năm trở lên; hoặc chỉ sản xuất ô tô chở hàng từ 5.000 xe/năm trở lên; hoặc chỉ sản xuất ô tô khách từ 3.000 xe/năm trở lên.</w:t>
            </w:r>
          </w:p>
        </w:tc>
        <w:tc>
          <w:tcPr>
            <w:tcW w:w="357" w:type="pct"/>
            <w:vMerge w:val="restart"/>
            <w:tcBorders>
              <w:top w:val="single" w:sz="4" w:space="0" w:color="auto"/>
              <w:left w:val="single" w:sz="4" w:space="0" w:color="auto"/>
            </w:tcBorders>
            <w:shd w:val="clear" w:color="auto" w:fill="FFFFFF"/>
            <w:vAlign w:val="center"/>
          </w:tcPr>
          <w:p w14:paraId="46B8F43A"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vMerge w:val="restart"/>
            <w:tcBorders>
              <w:top w:val="single" w:sz="4" w:space="0" w:color="auto"/>
              <w:left w:val="single" w:sz="4" w:space="0" w:color="auto"/>
            </w:tcBorders>
            <w:shd w:val="clear" w:color="auto" w:fill="FFFFFF"/>
            <w:vAlign w:val="center"/>
          </w:tcPr>
          <w:p w14:paraId="407E3ECB"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vMerge w:val="restart"/>
            <w:tcBorders>
              <w:top w:val="single" w:sz="4" w:space="0" w:color="auto"/>
              <w:left w:val="single" w:sz="4" w:space="0" w:color="auto"/>
              <w:right w:val="single" w:sz="4" w:space="0" w:color="auto"/>
            </w:tcBorders>
            <w:shd w:val="clear" w:color="auto" w:fill="FFFFFF"/>
            <w:vAlign w:val="center"/>
          </w:tcPr>
          <w:p w14:paraId="463BD6E6"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60C32F4C" w14:textId="77777777" w:rsidTr="00D23B44">
        <w:trPr>
          <w:trHeight w:val="20"/>
          <w:jc w:val="center"/>
        </w:trPr>
        <w:tc>
          <w:tcPr>
            <w:tcW w:w="334" w:type="pct"/>
            <w:vMerge/>
            <w:tcBorders>
              <w:left w:val="single" w:sz="4" w:space="0" w:color="auto"/>
            </w:tcBorders>
            <w:shd w:val="clear" w:color="auto" w:fill="FFFFFF"/>
            <w:vAlign w:val="center"/>
          </w:tcPr>
          <w:p w14:paraId="7E87992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86" w:type="pct"/>
            <w:vMerge/>
            <w:tcBorders>
              <w:left w:val="single" w:sz="4" w:space="0" w:color="auto"/>
            </w:tcBorders>
            <w:shd w:val="clear" w:color="auto" w:fill="FFFFFF"/>
            <w:vAlign w:val="center"/>
          </w:tcPr>
          <w:p w14:paraId="330AB426" w14:textId="77777777" w:rsidR="00C911A0" w:rsidRPr="005223E6" w:rsidRDefault="00C911A0" w:rsidP="00B4267B">
            <w:pPr>
              <w:widowControl w:val="0"/>
              <w:rPr>
                <w:rFonts w:eastAsia="Courier New" w:cs="Arial"/>
                <w:color w:val="000000" w:themeColor="text1"/>
                <w:szCs w:val="20"/>
                <w:lang w:eastAsia="vi-VN" w:bidi="vi-VN"/>
              </w:rPr>
            </w:pPr>
          </w:p>
        </w:tc>
        <w:tc>
          <w:tcPr>
            <w:tcW w:w="3130" w:type="pct"/>
            <w:tcBorders>
              <w:top w:val="single" w:sz="4" w:space="0" w:color="auto"/>
              <w:left w:val="single" w:sz="4" w:space="0" w:color="auto"/>
            </w:tcBorders>
            <w:shd w:val="clear" w:color="auto" w:fill="FFFFFF"/>
            <w:vAlign w:val="center"/>
          </w:tcPr>
          <w:p w14:paraId="3CADF27E"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xe máy chuyên dùng, xe loại khác (xe chở hàng bốn bánh có gắn động cơ và xe chở người bốn bánh có gắn động cơ) từ 3.000 xe/năm trở lên.</w:t>
            </w:r>
          </w:p>
        </w:tc>
        <w:tc>
          <w:tcPr>
            <w:tcW w:w="357" w:type="pct"/>
            <w:vMerge/>
            <w:tcBorders>
              <w:left w:val="single" w:sz="4" w:space="0" w:color="auto"/>
            </w:tcBorders>
            <w:shd w:val="clear" w:color="auto" w:fill="FFFFFF"/>
            <w:vAlign w:val="center"/>
          </w:tcPr>
          <w:p w14:paraId="783C99B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vMerge/>
            <w:tcBorders>
              <w:left w:val="single" w:sz="4" w:space="0" w:color="auto"/>
            </w:tcBorders>
            <w:shd w:val="clear" w:color="auto" w:fill="FFFFFF"/>
            <w:vAlign w:val="center"/>
          </w:tcPr>
          <w:p w14:paraId="47E13E45"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vMerge/>
            <w:tcBorders>
              <w:left w:val="single" w:sz="4" w:space="0" w:color="auto"/>
              <w:right w:val="single" w:sz="4" w:space="0" w:color="auto"/>
            </w:tcBorders>
            <w:shd w:val="clear" w:color="auto" w:fill="FFFFFF"/>
            <w:vAlign w:val="center"/>
          </w:tcPr>
          <w:p w14:paraId="271EB99B"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6AF4B0D5" w14:textId="77777777" w:rsidTr="00D23B44">
        <w:trPr>
          <w:trHeight w:val="20"/>
          <w:jc w:val="center"/>
        </w:trPr>
        <w:tc>
          <w:tcPr>
            <w:tcW w:w="334" w:type="pct"/>
            <w:vMerge/>
            <w:tcBorders>
              <w:left w:val="single" w:sz="4" w:space="0" w:color="auto"/>
            </w:tcBorders>
            <w:shd w:val="clear" w:color="auto" w:fill="FFFFFF"/>
            <w:vAlign w:val="center"/>
          </w:tcPr>
          <w:p w14:paraId="3AFA5518"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86" w:type="pct"/>
            <w:vMerge/>
            <w:tcBorders>
              <w:left w:val="single" w:sz="4" w:space="0" w:color="auto"/>
            </w:tcBorders>
            <w:shd w:val="clear" w:color="auto" w:fill="FFFFFF"/>
            <w:vAlign w:val="center"/>
          </w:tcPr>
          <w:p w14:paraId="309F556F" w14:textId="77777777" w:rsidR="00C911A0" w:rsidRPr="005223E6" w:rsidRDefault="00C911A0" w:rsidP="00B4267B">
            <w:pPr>
              <w:widowControl w:val="0"/>
              <w:rPr>
                <w:rFonts w:eastAsia="Courier New" w:cs="Arial"/>
                <w:color w:val="000000" w:themeColor="text1"/>
                <w:szCs w:val="20"/>
                <w:lang w:eastAsia="vi-VN" w:bidi="vi-VN"/>
              </w:rPr>
            </w:pPr>
          </w:p>
        </w:tc>
        <w:tc>
          <w:tcPr>
            <w:tcW w:w="3130" w:type="pct"/>
            <w:tcBorders>
              <w:top w:val="single" w:sz="4" w:space="0" w:color="auto"/>
              <w:left w:val="single" w:sz="4" w:space="0" w:color="auto"/>
            </w:tcBorders>
            <w:shd w:val="clear" w:color="auto" w:fill="FFFFFF"/>
            <w:vAlign w:val="center"/>
          </w:tcPr>
          <w:p w14:paraId="6B9D4363"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xe mô tô, xe gắn máy từ 200.000 xe/năm trở lên.</w:t>
            </w:r>
          </w:p>
        </w:tc>
        <w:tc>
          <w:tcPr>
            <w:tcW w:w="357" w:type="pct"/>
            <w:vMerge/>
            <w:tcBorders>
              <w:left w:val="single" w:sz="4" w:space="0" w:color="auto"/>
            </w:tcBorders>
            <w:shd w:val="clear" w:color="auto" w:fill="FFFFFF"/>
            <w:vAlign w:val="center"/>
          </w:tcPr>
          <w:p w14:paraId="0B2F126C"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vMerge/>
            <w:tcBorders>
              <w:left w:val="single" w:sz="4" w:space="0" w:color="auto"/>
            </w:tcBorders>
            <w:shd w:val="clear" w:color="auto" w:fill="FFFFFF"/>
            <w:vAlign w:val="center"/>
          </w:tcPr>
          <w:p w14:paraId="27E26A9D"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vMerge/>
            <w:tcBorders>
              <w:left w:val="single" w:sz="4" w:space="0" w:color="auto"/>
              <w:right w:val="single" w:sz="4" w:space="0" w:color="auto"/>
            </w:tcBorders>
            <w:shd w:val="clear" w:color="auto" w:fill="FFFFFF"/>
            <w:vAlign w:val="center"/>
          </w:tcPr>
          <w:p w14:paraId="3420D769"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66811C3B" w14:textId="77777777" w:rsidTr="00D23B44">
        <w:trPr>
          <w:trHeight w:val="20"/>
          <w:jc w:val="center"/>
        </w:trPr>
        <w:tc>
          <w:tcPr>
            <w:tcW w:w="334" w:type="pct"/>
            <w:vMerge/>
            <w:tcBorders>
              <w:left w:val="single" w:sz="4" w:space="0" w:color="auto"/>
            </w:tcBorders>
            <w:shd w:val="clear" w:color="auto" w:fill="FFFFFF"/>
            <w:vAlign w:val="center"/>
          </w:tcPr>
          <w:p w14:paraId="4830C57A"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86" w:type="pct"/>
            <w:vMerge/>
            <w:tcBorders>
              <w:left w:val="single" w:sz="4" w:space="0" w:color="auto"/>
            </w:tcBorders>
            <w:shd w:val="clear" w:color="auto" w:fill="FFFFFF"/>
            <w:vAlign w:val="center"/>
          </w:tcPr>
          <w:p w14:paraId="1214BAF4" w14:textId="77777777" w:rsidR="00C911A0" w:rsidRPr="005223E6" w:rsidRDefault="00C911A0" w:rsidP="00B4267B">
            <w:pPr>
              <w:widowControl w:val="0"/>
              <w:rPr>
                <w:rFonts w:eastAsia="Courier New" w:cs="Arial"/>
                <w:color w:val="000000" w:themeColor="text1"/>
                <w:szCs w:val="20"/>
                <w:lang w:eastAsia="vi-VN" w:bidi="vi-VN"/>
              </w:rPr>
            </w:pPr>
          </w:p>
        </w:tc>
        <w:tc>
          <w:tcPr>
            <w:tcW w:w="3130" w:type="pct"/>
            <w:tcBorders>
              <w:top w:val="single" w:sz="4" w:space="0" w:color="auto"/>
              <w:left w:val="single" w:sz="4" w:space="0" w:color="auto"/>
            </w:tcBorders>
            <w:shd w:val="clear" w:color="auto" w:fill="FFFFFF"/>
            <w:vAlign w:val="center"/>
          </w:tcPr>
          <w:p w14:paraId="4054F01E"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phụ tùng từ 1.000.000 sản phẩm/năm trở lên.</w:t>
            </w:r>
          </w:p>
        </w:tc>
        <w:tc>
          <w:tcPr>
            <w:tcW w:w="357" w:type="pct"/>
            <w:vMerge/>
            <w:tcBorders>
              <w:left w:val="single" w:sz="4" w:space="0" w:color="auto"/>
            </w:tcBorders>
            <w:shd w:val="clear" w:color="auto" w:fill="FFFFFF"/>
            <w:vAlign w:val="center"/>
          </w:tcPr>
          <w:p w14:paraId="158C81B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vMerge/>
            <w:tcBorders>
              <w:left w:val="single" w:sz="4" w:space="0" w:color="auto"/>
            </w:tcBorders>
            <w:shd w:val="clear" w:color="auto" w:fill="FFFFFF"/>
            <w:vAlign w:val="center"/>
          </w:tcPr>
          <w:p w14:paraId="4A58587D"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vMerge/>
            <w:tcBorders>
              <w:left w:val="single" w:sz="4" w:space="0" w:color="auto"/>
              <w:right w:val="single" w:sz="4" w:space="0" w:color="auto"/>
            </w:tcBorders>
            <w:shd w:val="clear" w:color="auto" w:fill="FFFFFF"/>
            <w:vAlign w:val="center"/>
          </w:tcPr>
          <w:p w14:paraId="3A47908C"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73F44706" w14:textId="77777777" w:rsidTr="00D23B44">
        <w:trPr>
          <w:trHeight w:val="20"/>
          <w:jc w:val="center"/>
        </w:trPr>
        <w:tc>
          <w:tcPr>
            <w:tcW w:w="334" w:type="pct"/>
            <w:vMerge/>
            <w:tcBorders>
              <w:left w:val="single" w:sz="4" w:space="0" w:color="auto"/>
            </w:tcBorders>
            <w:shd w:val="clear" w:color="auto" w:fill="FFFFFF"/>
            <w:vAlign w:val="center"/>
          </w:tcPr>
          <w:p w14:paraId="0224E751"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86" w:type="pct"/>
            <w:vMerge w:val="restart"/>
            <w:tcBorders>
              <w:top w:val="single" w:sz="4" w:space="0" w:color="auto"/>
              <w:left w:val="single" w:sz="4" w:space="0" w:color="auto"/>
            </w:tcBorders>
            <w:shd w:val="clear" w:color="auto" w:fill="FFFFFF"/>
            <w:vAlign w:val="center"/>
          </w:tcPr>
          <w:p w14:paraId="5CCAC6C5"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Trung bình</w:t>
            </w:r>
          </w:p>
        </w:tc>
        <w:tc>
          <w:tcPr>
            <w:tcW w:w="3130" w:type="pct"/>
            <w:tcBorders>
              <w:top w:val="single" w:sz="4" w:space="0" w:color="auto"/>
              <w:left w:val="single" w:sz="4" w:space="0" w:color="auto"/>
            </w:tcBorders>
            <w:shd w:val="clear" w:color="auto" w:fill="FFFFFF"/>
            <w:vAlign w:val="center"/>
          </w:tcPr>
          <w:p w14:paraId="6A38642F"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nhiều loại ô tô từ 1.000 đến dưới 10.000 xe/năm; hoặc chỉ sản xuất ô tô con từ 1.000 đến dưới 10.000 xe/năm; hoặc chỉ sản xuất ô tô chở hàng từ 1.000 đến dưới 5.000 xe/năm; hoặc chỉ sản xuất ô tô khách từ 500 đến dưới 3.000 xe/năm</w:t>
            </w:r>
          </w:p>
        </w:tc>
        <w:tc>
          <w:tcPr>
            <w:tcW w:w="357" w:type="pct"/>
            <w:vMerge w:val="restart"/>
            <w:tcBorders>
              <w:top w:val="single" w:sz="4" w:space="0" w:color="auto"/>
              <w:left w:val="single" w:sz="4" w:space="0" w:color="auto"/>
            </w:tcBorders>
            <w:shd w:val="clear" w:color="auto" w:fill="FFFFFF"/>
            <w:vAlign w:val="center"/>
          </w:tcPr>
          <w:p w14:paraId="10685025"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vMerge w:val="restart"/>
            <w:tcBorders>
              <w:top w:val="single" w:sz="4" w:space="0" w:color="auto"/>
              <w:left w:val="single" w:sz="4" w:space="0" w:color="auto"/>
            </w:tcBorders>
            <w:shd w:val="clear" w:color="auto" w:fill="FFFFFF"/>
            <w:vAlign w:val="center"/>
          </w:tcPr>
          <w:p w14:paraId="0CD75298"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vMerge w:val="restart"/>
            <w:tcBorders>
              <w:top w:val="single" w:sz="4" w:space="0" w:color="auto"/>
              <w:left w:val="single" w:sz="4" w:space="0" w:color="auto"/>
              <w:right w:val="single" w:sz="4" w:space="0" w:color="auto"/>
            </w:tcBorders>
            <w:shd w:val="clear" w:color="auto" w:fill="FFFFFF"/>
            <w:vAlign w:val="center"/>
          </w:tcPr>
          <w:p w14:paraId="3B8838B5"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5D8DA2FE" w14:textId="77777777" w:rsidTr="00D23B44">
        <w:trPr>
          <w:trHeight w:val="20"/>
          <w:jc w:val="center"/>
        </w:trPr>
        <w:tc>
          <w:tcPr>
            <w:tcW w:w="334" w:type="pct"/>
            <w:vMerge/>
            <w:tcBorders>
              <w:left w:val="single" w:sz="4" w:space="0" w:color="auto"/>
            </w:tcBorders>
            <w:shd w:val="clear" w:color="auto" w:fill="FFFFFF"/>
            <w:vAlign w:val="center"/>
          </w:tcPr>
          <w:p w14:paraId="7D55B81F"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86" w:type="pct"/>
            <w:vMerge/>
            <w:tcBorders>
              <w:left w:val="single" w:sz="4" w:space="0" w:color="auto"/>
            </w:tcBorders>
            <w:shd w:val="clear" w:color="auto" w:fill="FFFFFF"/>
            <w:vAlign w:val="center"/>
          </w:tcPr>
          <w:p w14:paraId="5C8582B5" w14:textId="77777777" w:rsidR="00C911A0" w:rsidRPr="005223E6" w:rsidRDefault="00C911A0" w:rsidP="00B4267B">
            <w:pPr>
              <w:widowControl w:val="0"/>
              <w:rPr>
                <w:rFonts w:eastAsia="Courier New" w:cs="Arial"/>
                <w:color w:val="000000" w:themeColor="text1"/>
                <w:szCs w:val="20"/>
                <w:lang w:eastAsia="vi-VN" w:bidi="vi-VN"/>
              </w:rPr>
            </w:pPr>
          </w:p>
        </w:tc>
        <w:tc>
          <w:tcPr>
            <w:tcW w:w="3130" w:type="pct"/>
            <w:tcBorders>
              <w:top w:val="single" w:sz="4" w:space="0" w:color="auto"/>
              <w:left w:val="single" w:sz="4" w:space="0" w:color="auto"/>
            </w:tcBorders>
            <w:shd w:val="clear" w:color="auto" w:fill="FFFFFF"/>
            <w:vAlign w:val="center"/>
          </w:tcPr>
          <w:p w14:paraId="08F446EE"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xe máy chuyên dùng, xe loại khác (xe chở hàng bốn bánh có gắn động cơ và xe chở người bốn bánh có gắn động cơ) từ 500 đến dưới 3.000 xe/năm.</w:t>
            </w:r>
          </w:p>
        </w:tc>
        <w:tc>
          <w:tcPr>
            <w:tcW w:w="357" w:type="pct"/>
            <w:vMerge/>
            <w:tcBorders>
              <w:left w:val="single" w:sz="4" w:space="0" w:color="auto"/>
            </w:tcBorders>
            <w:shd w:val="clear" w:color="auto" w:fill="FFFFFF"/>
            <w:vAlign w:val="center"/>
          </w:tcPr>
          <w:p w14:paraId="1E51BE87"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vMerge/>
            <w:tcBorders>
              <w:left w:val="single" w:sz="4" w:space="0" w:color="auto"/>
            </w:tcBorders>
            <w:shd w:val="clear" w:color="auto" w:fill="FFFFFF"/>
            <w:vAlign w:val="center"/>
          </w:tcPr>
          <w:p w14:paraId="4106FF0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vMerge/>
            <w:tcBorders>
              <w:left w:val="single" w:sz="4" w:space="0" w:color="auto"/>
              <w:right w:val="single" w:sz="4" w:space="0" w:color="auto"/>
            </w:tcBorders>
            <w:shd w:val="clear" w:color="auto" w:fill="FFFFFF"/>
            <w:vAlign w:val="center"/>
          </w:tcPr>
          <w:p w14:paraId="4471D1E2"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34F63032" w14:textId="77777777" w:rsidTr="00D23B44">
        <w:trPr>
          <w:trHeight w:val="20"/>
          <w:jc w:val="center"/>
        </w:trPr>
        <w:tc>
          <w:tcPr>
            <w:tcW w:w="334" w:type="pct"/>
            <w:vMerge/>
            <w:tcBorders>
              <w:left w:val="single" w:sz="4" w:space="0" w:color="auto"/>
            </w:tcBorders>
            <w:shd w:val="clear" w:color="auto" w:fill="FFFFFF"/>
            <w:vAlign w:val="center"/>
          </w:tcPr>
          <w:p w14:paraId="1DB2C696"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86" w:type="pct"/>
            <w:vMerge/>
            <w:tcBorders>
              <w:left w:val="single" w:sz="4" w:space="0" w:color="auto"/>
            </w:tcBorders>
            <w:shd w:val="clear" w:color="auto" w:fill="FFFFFF"/>
            <w:vAlign w:val="center"/>
          </w:tcPr>
          <w:p w14:paraId="6E7939F0" w14:textId="77777777" w:rsidR="00C911A0" w:rsidRPr="005223E6" w:rsidRDefault="00C911A0" w:rsidP="00B4267B">
            <w:pPr>
              <w:widowControl w:val="0"/>
              <w:rPr>
                <w:rFonts w:eastAsia="Courier New" w:cs="Arial"/>
                <w:color w:val="000000" w:themeColor="text1"/>
                <w:szCs w:val="20"/>
                <w:lang w:eastAsia="vi-VN" w:bidi="vi-VN"/>
              </w:rPr>
            </w:pPr>
          </w:p>
        </w:tc>
        <w:tc>
          <w:tcPr>
            <w:tcW w:w="3130" w:type="pct"/>
            <w:tcBorders>
              <w:top w:val="single" w:sz="4" w:space="0" w:color="auto"/>
              <w:left w:val="single" w:sz="4" w:space="0" w:color="auto"/>
            </w:tcBorders>
            <w:shd w:val="clear" w:color="auto" w:fill="FFFFFF"/>
            <w:vAlign w:val="center"/>
          </w:tcPr>
          <w:p w14:paraId="3BB09709"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xe mô tô, xe gắn máy từ 50.000 đến dưới 200.000 xe/năm.</w:t>
            </w:r>
          </w:p>
        </w:tc>
        <w:tc>
          <w:tcPr>
            <w:tcW w:w="357" w:type="pct"/>
            <w:vMerge/>
            <w:tcBorders>
              <w:left w:val="single" w:sz="4" w:space="0" w:color="auto"/>
            </w:tcBorders>
            <w:shd w:val="clear" w:color="auto" w:fill="FFFFFF"/>
            <w:vAlign w:val="center"/>
          </w:tcPr>
          <w:p w14:paraId="009F0F03"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vMerge/>
            <w:tcBorders>
              <w:left w:val="single" w:sz="4" w:space="0" w:color="auto"/>
            </w:tcBorders>
            <w:shd w:val="clear" w:color="auto" w:fill="FFFFFF"/>
            <w:vAlign w:val="center"/>
          </w:tcPr>
          <w:p w14:paraId="710F984A"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vMerge/>
            <w:tcBorders>
              <w:left w:val="single" w:sz="4" w:space="0" w:color="auto"/>
              <w:right w:val="single" w:sz="4" w:space="0" w:color="auto"/>
            </w:tcBorders>
            <w:shd w:val="clear" w:color="auto" w:fill="FFFFFF"/>
            <w:vAlign w:val="center"/>
          </w:tcPr>
          <w:p w14:paraId="7E52438B"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40DF47A1" w14:textId="77777777" w:rsidTr="00D23B44">
        <w:trPr>
          <w:trHeight w:val="20"/>
          <w:jc w:val="center"/>
        </w:trPr>
        <w:tc>
          <w:tcPr>
            <w:tcW w:w="334" w:type="pct"/>
            <w:vMerge/>
            <w:tcBorders>
              <w:left w:val="single" w:sz="4" w:space="0" w:color="auto"/>
            </w:tcBorders>
            <w:shd w:val="clear" w:color="auto" w:fill="FFFFFF"/>
            <w:vAlign w:val="center"/>
          </w:tcPr>
          <w:p w14:paraId="63A3BC03"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86" w:type="pct"/>
            <w:vMerge/>
            <w:tcBorders>
              <w:left w:val="single" w:sz="4" w:space="0" w:color="auto"/>
            </w:tcBorders>
            <w:shd w:val="clear" w:color="auto" w:fill="FFFFFF"/>
            <w:vAlign w:val="center"/>
          </w:tcPr>
          <w:p w14:paraId="1B70B4BB" w14:textId="77777777" w:rsidR="00C911A0" w:rsidRPr="005223E6" w:rsidRDefault="00C911A0" w:rsidP="00B4267B">
            <w:pPr>
              <w:widowControl w:val="0"/>
              <w:rPr>
                <w:rFonts w:eastAsia="Courier New" w:cs="Arial"/>
                <w:color w:val="000000" w:themeColor="text1"/>
                <w:szCs w:val="20"/>
                <w:lang w:eastAsia="vi-VN" w:bidi="vi-VN"/>
              </w:rPr>
            </w:pPr>
          </w:p>
        </w:tc>
        <w:tc>
          <w:tcPr>
            <w:tcW w:w="3130" w:type="pct"/>
            <w:tcBorders>
              <w:top w:val="single" w:sz="4" w:space="0" w:color="auto"/>
              <w:left w:val="single" w:sz="4" w:space="0" w:color="auto"/>
            </w:tcBorders>
            <w:shd w:val="clear" w:color="auto" w:fill="FFFFFF"/>
            <w:vAlign w:val="center"/>
          </w:tcPr>
          <w:p w14:paraId="4DD22427"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phụ tùng từ 300.000 đến dưới 1.000.000 sản phẩm/năm.</w:t>
            </w:r>
          </w:p>
        </w:tc>
        <w:tc>
          <w:tcPr>
            <w:tcW w:w="357" w:type="pct"/>
            <w:vMerge/>
            <w:tcBorders>
              <w:left w:val="single" w:sz="4" w:space="0" w:color="auto"/>
            </w:tcBorders>
            <w:shd w:val="clear" w:color="auto" w:fill="FFFFFF"/>
            <w:vAlign w:val="center"/>
          </w:tcPr>
          <w:p w14:paraId="11C1CB2E"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vMerge/>
            <w:tcBorders>
              <w:left w:val="single" w:sz="4" w:space="0" w:color="auto"/>
            </w:tcBorders>
            <w:shd w:val="clear" w:color="auto" w:fill="FFFFFF"/>
            <w:vAlign w:val="center"/>
          </w:tcPr>
          <w:p w14:paraId="529C6379"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vMerge/>
            <w:tcBorders>
              <w:left w:val="single" w:sz="4" w:space="0" w:color="auto"/>
              <w:right w:val="single" w:sz="4" w:space="0" w:color="auto"/>
            </w:tcBorders>
            <w:shd w:val="clear" w:color="auto" w:fill="FFFFFF"/>
            <w:vAlign w:val="center"/>
          </w:tcPr>
          <w:p w14:paraId="54A108E6"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125ECEF9" w14:textId="77777777" w:rsidTr="00D23B44">
        <w:trPr>
          <w:trHeight w:val="20"/>
          <w:jc w:val="center"/>
        </w:trPr>
        <w:tc>
          <w:tcPr>
            <w:tcW w:w="334" w:type="pct"/>
            <w:vMerge/>
            <w:tcBorders>
              <w:left w:val="single" w:sz="4" w:space="0" w:color="auto"/>
            </w:tcBorders>
            <w:shd w:val="clear" w:color="auto" w:fill="FFFFFF"/>
            <w:vAlign w:val="center"/>
          </w:tcPr>
          <w:p w14:paraId="50CBD0CA"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86" w:type="pct"/>
            <w:tcBorders>
              <w:top w:val="single" w:sz="4" w:space="0" w:color="auto"/>
              <w:left w:val="single" w:sz="4" w:space="0" w:color="auto"/>
            </w:tcBorders>
            <w:shd w:val="clear" w:color="auto" w:fill="FFFFFF"/>
            <w:vAlign w:val="center"/>
          </w:tcPr>
          <w:p w14:paraId="3615C567"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Nhỏ</w:t>
            </w:r>
          </w:p>
        </w:tc>
        <w:tc>
          <w:tcPr>
            <w:tcW w:w="3130" w:type="pct"/>
            <w:tcBorders>
              <w:top w:val="single" w:sz="4" w:space="0" w:color="auto"/>
              <w:left w:val="single" w:sz="4" w:space="0" w:color="auto"/>
            </w:tcBorders>
            <w:shd w:val="clear" w:color="auto" w:fill="FFFFFF"/>
            <w:vAlign w:val="center"/>
          </w:tcPr>
          <w:p w14:paraId="7C42C918"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Sản xuất ô tô dưới 1.000 xe/năm; hoặc sản xuất xe máy chuyên dùng, xe loại khác (xe chở hàng bốn bánh có gắn động cơ và xe chở người bốn bánh có gắn động cơ) dưới 500 xe/năm; hoặc sản xuất xe mô tô, xe gắn máy dưới 50.000 xe/năm; hoặc sản xuất phụ tùng dưới 500.000 sản phẩm/năm.</w:t>
            </w:r>
          </w:p>
        </w:tc>
        <w:tc>
          <w:tcPr>
            <w:tcW w:w="357" w:type="pct"/>
            <w:tcBorders>
              <w:top w:val="single" w:sz="4" w:space="0" w:color="auto"/>
              <w:left w:val="single" w:sz="4" w:space="0" w:color="auto"/>
            </w:tcBorders>
            <w:shd w:val="clear" w:color="auto" w:fill="FFFFFF"/>
            <w:vAlign w:val="center"/>
          </w:tcPr>
          <w:p w14:paraId="2929A544"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3DB5EBCF"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07243055"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03270657"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5A36F2BC"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3</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090AECB1"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Công nghệ sản xuất, lắp ráp</w:t>
            </w:r>
          </w:p>
        </w:tc>
      </w:tr>
      <w:tr w:rsidR="005223E6" w:rsidRPr="005223E6" w14:paraId="4BBA9B06"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0B2AE863"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0821DAF6"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Hiện đại, được chuyển giao công nghệ từ các hãng sản xuất thuộc khối các nước thuộc EU, G7.</w:t>
            </w:r>
          </w:p>
        </w:tc>
        <w:tc>
          <w:tcPr>
            <w:tcW w:w="357" w:type="pct"/>
            <w:tcBorders>
              <w:top w:val="single" w:sz="4" w:space="0" w:color="auto"/>
              <w:left w:val="single" w:sz="4" w:space="0" w:color="auto"/>
            </w:tcBorders>
            <w:shd w:val="clear" w:color="auto" w:fill="FFFFFF"/>
            <w:vAlign w:val="center"/>
          </w:tcPr>
          <w:p w14:paraId="15D9D44B"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tcBorders>
            <w:shd w:val="clear" w:color="auto" w:fill="FFFFFF"/>
            <w:vAlign w:val="center"/>
          </w:tcPr>
          <w:p w14:paraId="60B21006"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2A1D93C4"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665E4EF8" w14:textId="77777777" w:rsidTr="00D23B44">
        <w:trPr>
          <w:trHeight w:val="20"/>
          <w:jc w:val="center"/>
        </w:trPr>
        <w:tc>
          <w:tcPr>
            <w:tcW w:w="334" w:type="pct"/>
            <w:vMerge/>
            <w:tcBorders>
              <w:left w:val="single" w:sz="4" w:space="0" w:color="auto"/>
            </w:tcBorders>
            <w:shd w:val="clear" w:color="auto" w:fill="FFFFFF"/>
            <w:vAlign w:val="center"/>
          </w:tcPr>
          <w:p w14:paraId="50DA0055"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564B9DD6"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Được chuyển giao công nghệ từ các hãng sản xuất thuộc khối các nước thuộc khối G20 (không bao gồm các nước thuộc EU, G7) hoặc cơ sở sản xuất không được chuyển giao công nghệ nhưng có Trung tâm nghiên cứu phát triển sản phẩm riêng.</w:t>
            </w:r>
          </w:p>
        </w:tc>
        <w:tc>
          <w:tcPr>
            <w:tcW w:w="357" w:type="pct"/>
            <w:tcBorders>
              <w:top w:val="single" w:sz="4" w:space="0" w:color="auto"/>
              <w:left w:val="single" w:sz="4" w:space="0" w:color="auto"/>
            </w:tcBorders>
            <w:shd w:val="clear" w:color="auto" w:fill="FFFFFF"/>
            <w:vAlign w:val="center"/>
          </w:tcPr>
          <w:p w14:paraId="2DF2F63B"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5CDD06F4"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2660B075"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13088BA2" w14:textId="77777777" w:rsidTr="00D23B44">
        <w:trPr>
          <w:trHeight w:val="20"/>
          <w:jc w:val="center"/>
        </w:trPr>
        <w:tc>
          <w:tcPr>
            <w:tcW w:w="334" w:type="pct"/>
            <w:vMerge/>
            <w:tcBorders>
              <w:left w:val="single" w:sz="4" w:space="0" w:color="auto"/>
            </w:tcBorders>
            <w:shd w:val="clear" w:color="auto" w:fill="FFFFFF"/>
            <w:vAlign w:val="center"/>
          </w:tcPr>
          <w:p w14:paraId="4B087176"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1DF58EE4"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Không thuộc hai đối tượng trên.</w:t>
            </w:r>
          </w:p>
        </w:tc>
        <w:tc>
          <w:tcPr>
            <w:tcW w:w="357" w:type="pct"/>
            <w:tcBorders>
              <w:top w:val="single" w:sz="4" w:space="0" w:color="auto"/>
              <w:left w:val="single" w:sz="4" w:space="0" w:color="auto"/>
            </w:tcBorders>
            <w:shd w:val="clear" w:color="auto" w:fill="FFFFFF"/>
            <w:vAlign w:val="center"/>
          </w:tcPr>
          <w:p w14:paraId="70777E31"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333114F0"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7CFD0DD4"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2B045AC6"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49E18504"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4</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6BB8C903"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Trang thiết bị sản xuất</w:t>
            </w:r>
          </w:p>
        </w:tc>
      </w:tr>
      <w:tr w:rsidR="005223E6" w:rsidRPr="005223E6" w14:paraId="1E6D3D9F"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611B19F2"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br w:type="page"/>
            </w:r>
          </w:p>
        </w:tc>
        <w:tc>
          <w:tcPr>
            <w:tcW w:w="3516" w:type="pct"/>
            <w:gridSpan w:val="2"/>
            <w:tcBorders>
              <w:top w:val="single" w:sz="4" w:space="0" w:color="auto"/>
              <w:left w:val="single" w:sz="4" w:space="0" w:color="auto"/>
              <w:bottom w:val="single" w:sz="4" w:space="0" w:color="auto"/>
            </w:tcBorders>
            <w:shd w:val="clear" w:color="auto" w:fill="FFFFFF"/>
            <w:vAlign w:val="center"/>
          </w:tcPr>
          <w:p w14:paraId="67BF45B5"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Được trang bị dây chuyền sản xuất hiện đại, mức độ tự động hóa cao (robot công đoạn hàn, sơn…).</w:t>
            </w:r>
          </w:p>
        </w:tc>
        <w:tc>
          <w:tcPr>
            <w:tcW w:w="357" w:type="pct"/>
            <w:tcBorders>
              <w:top w:val="single" w:sz="4" w:space="0" w:color="auto"/>
              <w:left w:val="single" w:sz="4" w:space="0" w:color="auto"/>
              <w:bottom w:val="single" w:sz="4" w:space="0" w:color="auto"/>
            </w:tcBorders>
            <w:shd w:val="clear" w:color="auto" w:fill="FFFFFF"/>
            <w:vAlign w:val="center"/>
          </w:tcPr>
          <w:p w14:paraId="2FE22711"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bottom w:val="single" w:sz="4" w:space="0" w:color="auto"/>
            </w:tcBorders>
            <w:shd w:val="clear" w:color="auto" w:fill="FFFFFF"/>
            <w:vAlign w:val="center"/>
          </w:tcPr>
          <w:p w14:paraId="120189C0"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14:paraId="600E44AB"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2CD9AF71" w14:textId="77777777" w:rsidTr="00D23B44">
        <w:trPr>
          <w:trHeight w:val="20"/>
          <w:jc w:val="center"/>
        </w:trPr>
        <w:tc>
          <w:tcPr>
            <w:tcW w:w="334" w:type="pct"/>
            <w:vMerge/>
            <w:tcBorders>
              <w:left w:val="single" w:sz="4" w:space="0" w:color="auto"/>
            </w:tcBorders>
            <w:shd w:val="clear" w:color="auto" w:fill="FFFFFF"/>
            <w:vAlign w:val="center"/>
          </w:tcPr>
          <w:p w14:paraId="5FE1CD0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7482B42B"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Được trang bị dây chuyền sản xuất đồng bộ, có một số phần điều khiển bán tự động.</w:t>
            </w:r>
          </w:p>
        </w:tc>
        <w:tc>
          <w:tcPr>
            <w:tcW w:w="357" w:type="pct"/>
            <w:tcBorders>
              <w:top w:val="single" w:sz="4" w:space="0" w:color="auto"/>
              <w:left w:val="single" w:sz="4" w:space="0" w:color="auto"/>
            </w:tcBorders>
            <w:shd w:val="clear" w:color="auto" w:fill="FFFFFF"/>
            <w:vAlign w:val="center"/>
          </w:tcPr>
          <w:p w14:paraId="5546CBC8"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1804A2BB"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04E3A911"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3D4AE2CC" w14:textId="77777777" w:rsidTr="00D23B44">
        <w:trPr>
          <w:trHeight w:val="20"/>
          <w:jc w:val="center"/>
        </w:trPr>
        <w:tc>
          <w:tcPr>
            <w:tcW w:w="334" w:type="pct"/>
            <w:vMerge/>
            <w:tcBorders>
              <w:left w:val="single" w:sz="4" w:space="0" w:color="auto"/>
            </w:tcBorders>
            <w:shd w:val="clear" w:color="auto" w:fill="FFFFFF"/>
            <w:vAlign w:val="center"/>
          </w:tcPr>
          <w:p w14:paraId="362C59B8"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5E7AAF40"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Hoàn toàn thủ công hoặc có một trong số các công đoạn không tự thực hiện, phải thuê doanh nghiệp khác (công đoạn hàn, công đoạn sơn, đường thử xe).</w:t>
            </w:r>
          </w:p>
        </w:tc>
        <w:tc>
          <w:tcPr>
            <w:tcW w:w="357" w:type="pct"/>
            <w:tcBorders>
              <w:top w:val="single" w:sz="4" w:space="0" w:color="auto"/>
              <w:left w:val="single" w:sz="4" w:space="0" w:color="auto"/>
            </w:tcBorders>
            <w:shd w:val="clear" w:color="auto" w:fill="FFFFFF"/>
            <w:vAlign w:val="center"/>
          </w:tcPr>
          <w:p w14:paraId="23A20810"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1A1C112D"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41CBAA23"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3936E6C1"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7CEB7D07"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5</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71287C56"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Nhân lực kiểm tra chất lượng xuất xưởng</w:t>
            </w:r>
          </w:p>
        </w:tc>
      </w:tr>
      <w:tr w:rsidR="005223E6" w:rsidRPr="005223E6" w14:paraId="25F6525F"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0A3F492B"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38E69BF0"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Có nhân lực được Nhà sản xuất nước ngoài (bên chuyển giao công nghệ) cấp chứng chỉ đào tạo chuyên môn nghiệp vụ.</w:t>
            </w:r>
          </w:p>
        </w:tc>
        <w:tc>
          <w:tcPr>
            <w:tcW w:w="357" w:type="pct"/>
            <w:tcBorders>
              <w:top w:val="single" w:sz="4" w:space="0" w:color="auto"/>
              <w:left w:val="single" w:sz="4" w:space="0" w:color="auto"/>
            </w:tcBorders>
            <w:shd w:val="clear" w:color="auto" w:fill="FFFFFF"/>
            <w:vAlign w:val="center"/>
          </w:tcPr>
          <w:p w14:paraId="01F90B33"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tcBorders>
            <w:shd w:val="clear" w:color="auto" w:fill="FFFFFF"/>
            <w:vAlign w:val="center"/>
          </w:tcPr>
          <w:p w14:paraId="4A2F622B"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16D5DFC5"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30D2D3A0" w14:textId="77777777" w:rsidTr="00D23B44">
        <w:trPr>
          <w:trHeight w:val="20"/>
          <w:jc w:val="center"/>
        </w:trPr>
        <w:tc>
          <w:tcPr>
            <w:tcW w:w="334" w:type="pct"/>
            <w:vMerge/>
            <w:tcBorders>
              <w:left w:val="single" w:sz="4" w:space="0" w:color="auto"/>
            </w:tcBorders>
            <w:shd w:val="clear" w:color="auto" w:fill="FFFFFF"/>
            <w:vAlign w:val="center"/>
          </w:tcPr>
          <w:p w14:paraId="75C2DD20"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4FAA13ED"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Có nhân lực được Cơ sở dạy nghề cấp chứng chỉ đào tạo, chuyên môn nghiệp vụ.</w:t>
            </w:r>
          </w:p>
        </w:tc>
        <w:tc>
          <w:tcPr>
            <w:tcW w:w="357" w:type="pct"/>
            <w:tcBorders>
              <w:top w:val="single" w:sz="4" w:space="0" w:color="auto"/>
              <w:left w:val="single" w:sz="4" w:space="0" w:color="auto"/>
            </w:tcBorders>
            <w:shd w:val="clear" w:color="auto" w:fill="FFFFFF"/>
            <w:vAlign w:val="center"/>
          </w:tcPr>
          <w:p w14:paraId="4ACB5C50"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76A15482"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2633EB33"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2D937259" w14:textId="77777777" w:rsidTr="00D23B44">
        <w:trPr>
          <w:trHeight w:val="20"/>
          <w:jc w:val="center"/>
        </w:trPr>
        <w:tc>
          <w:tcPr>
            <w:tcW w:w="334" w:type="pct"/>
            <w:vMerge/>
            <w:tcBorders>
              <w:left w:val="single" w:sz="4" w:space="0" w:color="auto"/>
            </w:tcBorders>
            <w:shd w:val="clear" w:color="auto" w:fill="FFFFFF"/>
            <w:vAlign w:val="center"/>
          </w:tcPr>
          <w:p w14:paraId="230D81A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5832FBE4"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Có nhân lực được đào tạo bởi các hình thức khác (không thuộc hai đối tượng trên).</w:t>
            </w:r>
          </w:p>
        </w:tc>
        <w:tc>
          <w:tcPr>
            <w:tcW w:w="357" w:type="pct"/>
            <w:tcBorders>
              <w:top w:val="single" w:sz="4" w:space="0" w:color="auto"/>
              <w:left w:val="single" w:sz="4" w:space="0" w:color="auto"/>
            </w:tcBorders>
            <w:shd w:val="clear" w:color="auto" w:fill="FFFFFF"/>
            <w:vAlign w:val="center"/>
          </w:tcPr>
          <w:p w14:paraId="36F64414"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209E7C79"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7B19F330"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68B6CFA9"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0C968831"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6</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05F37AB3"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Hệ thống quản lý chất lượng</w:t>
            </w:r>
          </w:p>
        </w:tc>
      </w:tr>
      <w:tr w:rsidR="005223E6" w:rsidRPr="005223E6" w14:paraId="010B6A9F"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48496DCC"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4405F810"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Có chứng chỉ hệ thống quản lý chất lượng ISO 9001 hoặc IATF 16949 hoặc tương đương còn hiệu lực và được duy trì tốt.</w:t>
            </w:r>
          </w:p>
        </w:tc>
        <w:tc>
          <w:tcPr>
            <w:tcW w:w="357" w:type="pct"/>
            <w:tcBorders>
              <w:top w:val="single" w:sz="4" w:space="0" w:color="auto"/>
              <w:left w:val="single" w:sz="4" w:space="0" w:color="auto"/>
            </w:tcBorders>
            <w:shd w:val="clear" w:color="auto" w:fill="FFFFFF"/>
            <w:vAlign w:val="center"/>
          </w:tcPr>
          <w:p w14:paraId="340A4632"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tcBorders>
            <w:shd w:val="clear" w:color="auto" w:fill="FFFFFF"/>
            <w:vAlign w:val="center"/>
          </w:tcPr>
          <w:p w14:paraId="0933B17A"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1F2C4979"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4BB510A1" w14:textId="77777777" w:rsidTr="00D23B44">
        <w:trPr>
          <w:trHeight w:val="20"/>
          <w:jc w:val="center"/>
        </w:trPr>
        <w:tc>
          <w:tcPr>
            <w:tcW w:w="334" w:type="pct"/>
            <w:vMerge/>
            <w:tcBorders>
              <w:left w:val="single" w:sz="4" w:space="0" w:color="auto"/>
            </w:tcBorders>
            <w:shd w:val="clear" w:color="auto" w:fill="FFFFFF"/>
            <w:vAlign w:val="center"/>
          </w:tcPr>
          <w:p w14:paraId="2E060A10"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38BCD969"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Có chứng chỉ hệ thống quản lý chất lượng ISO 9001 hoặc IATF 16949 hoặc tương đương còn hiệu lực.</w:t>
            </w:r>
          </w:p>
        </w:tc>
        <w:tc>
          <w:tcPr>
            <w:tcW w:w="357" w:type="pct"/>
            <w:tcBorders>
              <w:top w:val="single" w:sz="4" w:space="0" w:color="auto"/>
              <w:left w:val="single" w:sz="4" w:space="0" w:color="auto"/>
            </w:tcBorders>
            <w:shd w:val="clear" w:color="auto" w:fill="FFFFFF"/>
            <w:vAlign w:val="center"/>
          </w:tcPr>
          <w:p w14:paraId="3FED6F11"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12CAC023"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0739B3D8"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2CD2335B" w14:textId="77777777" w:rsidTr="00D23B44">
        <w:trPr>
          <w:trHeight w:val="20"/>
          <w:jc w:val="center"/>
        </w:trPr>
        <w:tc>
          <w:tcPr>
            <w:tcW w:w="334" w:type="pct"/>
            <w:vMerge/>
            <w:tcBorders>
              <w:left w:val="single" w:sz="4" w:space="0" w:color="auto"/>
            </w:tcBorders>
            <w:shd w:val="clear" w:color="auto" w:fill="FFFFFF"/>
            <w:vAlign w:val="center"/>
          </w:tcPr>
          <w:p w14:paraId="7C4BBBF0"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0075E306"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Có chứng chỉ hệ thống quản lý chất lượng ISO 9001 hoặc IATF 16949 hoặc tương đương còn hiệu lực nhưng không được duy trì tốt hoặc chưa có chứng chỉ hệ thống quản lý chất lượng.</w:t>
            </w:r>
          </w:p>
        </w:tc>
        <w:tc>
          <w:tcPr>
            <w:tcW w:w="357" w:type="pct"/>
            <w:tcBorders>
              <w:top w:val="single" w:sz="4" w:space="0" w:color="auto"/>
              <w:left w:val="single" w:sz="4" w:space="0" w:color="auto"/>
            </w:tcBorders>
            <w:shd w:val="clear" w:color="auto" w:fill="FFFFFF"/>
            <w:vAlign w:val="center"/>
          </w:tcPr>
          <w:p w14:paraId="459301F8"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33BF680E"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5107A1AC"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363DC1D6"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1708E4CE"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II</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4B3E75E5"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Tiêu chí sự tuân thủ quy định của cơ sở sản xuất</w:t>
            </w:r>
          </w:p>
        </w:tc>
      </w:tr>
      <w:tr w:rsidR="005223E6" w:rsidRPr="005223E6" w14:paraId="7E1F02C2"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7A41FAF1"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1</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5044E556"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Kết quả đánh giá COP gần nhất</w:t>
            </w:r>
          </w:p>
        </w:tc>
      </w:tr>
      <w:tr w:rsidR="005223E6" w:rsidRPr="005223E6" w14:paraId="4AD331AA"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06B9C99C"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20782656"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Không có nội dung cần khắc phục.</w:t>
            </w:r>
          </w:p>
        </w:tc>
        <w:tc>
          <w:tcPr>
            <w:tcW w:w="357" w:type="pct"/>
            <w:tcBorders>
              <w:top w:val="single" w:sz="4" w:space="0" w:color="auto"/>
              <w:left w:val="single" w:sz="4" w:space="0" w:color="auto"/>
            </w:tcBorders>
            <w:shd w:val="clear" w:color="auto" w:fill="FFFFFF"/>
            <w:vAlign w:val="center"/>
          </w:tcPr>
          <w:p w14:paraId="3C6381B7"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tcBorders>
            <w:shd w:val="clear" w:color="auto" w:fill="FFFFFF"/>
            <w:vAlign w:val="center"/>
          </w:tcPr>
          <w:p w14:paraId="50742677"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12F48D08"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39A1DE81" w14:textId="77777777" w:rsidTr="00D23B44">
        <w:trPr>
          <w:trHeight w:val="20"/>
          <w:jc w:val="center"/>
        </w:trPr>
        <w:tc>
          <w:tcPr>
            <w:tcW w:w="334" w:type="pct"/>
            <w:vMerge/>
            <w:tcBorders>
              <w:left w:val="single" w:sz="4" w:space="0" w:color="auto"/>
            </w:tcBorders>
            <w:shd w:val="clear" w:color="auto" w:fill="FFFFFF"/>
            <w:vAlign w:val="center"/>
          </w:tcPr>
          <w:p w14:paraId="232524B8"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62FE7824"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Có không quá ba nội dung cần khắc phục.</w:t>
            </w:r>
          </w:p>
        </w:tc>
        <w:tc>
          <w:tcPr>
            <w:tcW w:w="357" w:type="pct"/>
            <w:tcBorders>
              <w:top w:val="single" w:sz="4" w:space="0" w:color="auto"/>
              <w:left w:val="single" w:sz="4" w:space="0" w:color="auto"/>
            </w:tcBorders>
            <w:shd w:val="clear" w:color="auto" w:fill="FFFFFF"/>
            <w:vAlign w:val="center"/>
          </w:tcPr>
          <w:p w14:paraId="5753D9FD"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46DEA1BE"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65EFBFE7"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17396CCA" w14:textId="77777777" w:rsidTr="00D23B44">
        <w:trPr>
          <w:trHeight w:val="20"/>
          <w:jc w:val="center"/>
        </w:trPr>
        <w:tc>
          <w:tcPr>
            <w:tcW w:w="334" w:type="pct"/>
            <w:vMerge/>
            <w:tcBorders>
              <w:left w:val="single" w:sz="4" w:space="0" w:color="auto"/>
            </w:tcBorders>
            <w:shd w:val="clear" w:color="auto" w:fill="FFFFFF"/>
            <w:vAlign w:val="center"/>
          </w:tcPr>
          <w:p w14:paraId="11E1CFAF"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1EE937BB"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Có trên ba nội dung cần khắc phục.</w:t>
            </w:r>
          </w:p>
        </w:tc>
        <w:tc>
          <w:tcPr>
            <w:tcW w:w="357" w:type="pct"/>
            <w:tcBorders>
              <w:top w:val="single" w:sz="4" w:space="0" w:color="auto"/>
              <w:left w:val="single" w:sz="4" w:space="0" w:color="auto"/>
            </w:tcBorders>
            <w:shd w:val="clear" w:color="auto" w:fill="FFFFFF"/>
            <w:vAlign w:val="center"/>
          </w:tcPr>
          <w:p w14:paraId="740BBB86"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01260589"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2AAF0401"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3CA69AC2"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110F38DF"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2</w:t>
            </w:r>
          </w:p>
        </w:tc>
        <w:tc>
          <w:tcPr>
            <w:tcW w:w="4666" w:type="pct"/>
            <w:gridSpan w:val="5"/>
            <w:tcBorders>
              <w:top w:val="single" w:sz="4" w:space="0" w:color="auto"/>
              <w:left w:val="single" w:sz="4" w:space="0" w:color="auto"/>
              <w:right w:val="single" w:sz="4" w:space="0" w:color="auto"/>
            </w:tcBorders>
            <w:shd w:val="clear" w:color="auto" w:fill="FFFFFF"/>
            <w:vAlign w:val="center"/>
          </w:tcPr>
          <w:p w14:paraId="100576AE"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Tuân thủ trong quá trình sản xuất, lắp ráp và cung ứng sản phẩm</w:t>
            </w:r>
          </w:p>
        </w:tc>
      </w:tr>
      <w:tr w:rsidR="005223E6" w:rsidRPr="005223E6" w14:paraId="15CA3D5C"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5E8BE6BE"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381FFC83"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 xml:space="preserve">Không vi phạm các quy định nêu tại Thông tư này </w:t>
            </w:r>
            <w:r w:rsidRPr="005223E6">
              <w:rPr>
                <w:rFonts w:eastAsia="Courier New" w:cs="Arial"/>
                <w:color w:val="000000" w:themeColor="text1"/>
                <w:szCs w:val="20"/>
                <w:vertAlign w:val="superscript"/>
                <w:lang w:eastAsia="vi-VN" w:bidi="vi-VN"/>
              </w:rPr>
              <w:t>(3)</w:t>
            </w:r>
          </w:p>
        </w:tc>
        <w:tc>
          <w:tcPr>
            <w:tcW w:w="357" w:type="pct"/>
            <w:tcBorders>
              <w:top w:val="single" w:sz="4" w:space="0" w:color="auto"/>
              <w:left w:val="single" w:sz="4" w:space="0" w:color="auto"/>
            </w:tcBorders>
            <w:shd w:val="clear" w:color="auto" w:fill="FFFFFF"/>
            <w:vAlign w:val="center"/>
          </w:tcPr>
          <w:p w14:paraId="3E27003C"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tcBorders>
            <w:shd w:val="clear" w:color="auto" w:fill="FFFFFF"/>
            <w:vAlign w:val="center"/>
          </w:tcPr>
          <w:p w14:paraId="7940E50B"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499FE2BD"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1E7857E7" w14:textId="77777777" w:rsidTr="00D23B44">
        <w:trPr>
          <w:trHeight w:val="20"/>
          <w:jc w:val="center"/>
        </w:trPr>
        <w:tc>
          <w:tcPr>
            <w:tcW w:w="334" w:type="pct"/>
            <w:vMerge/>
            <w:tcBorders>
              <w:left w:val="single" w:sz="4" w:space="0" w:color="auto"/>
            </w:tcBorders>
            <w:shd w:val="clear" w:color="auto" w:fill="FFFFFF"/>
            <w:vAlign w:val="center"/>
          </w:tcPr>
          <w:p w14:paraId="0AA0BDF4"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53A3F0B6"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Bị tạm dừng xuất xưởng một kiểu loại sản phẩm.</w:t>
            </w:r>
          </w:p>
        </w:tc>
        <w:tc>
          <w:tcPr>
            <w:tcW w:w="357" w:type="pct"/>
            <w:tcBorders>
              <w:top w:val="single" w:sz="4" w:space="0" w:color="auto"/>
              <w:left w:val="single" w:sz="4" w:space="0" w:color="auto"/>
            </w:tcBorders>
            <w:shd w:val="clear" w:color="auto" w:fill="FFFFFF"/>
            <w:vAlign w:val="center"/>
          </w:tcPr>
          <w:p w14:paraId="5356635D"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342EBA2E"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7FA956EA"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22C9F96B" w14:textId="77777777" w:rsidTr="00D23B44">
        <w:trPr>
          <w:trHeight w:val="20"/>
          <w:jc w:val="center"/>
        </w:trPr>
        <w:tc>
          <w:tcPr>
            <w:tcW w:w="334" w:type="pct"/>
            <w:vMerge/>
            <w:tcBorders>
              <w:left w:val="single" w:sz="4" w:space="0" w:color="auto"/>
            </w:tcBorders>
            <w:shd w:val="clear" w:color="auto" w:fill="FFFFFF"/>
            <w:vAlign w:val="center"/>
          </w:tcPr>
          <w:p w14:paraId="09D10D5E"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33FA7776"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Bị tạm dừng xuất xưởng một kiểu loại sản phẩm từ hai lần trở lên hoặc bị tạm dừng xuất xưởng đồng thời từ hai kiểu loại sản phẩm trở lên.</w:t>
            </w:r>
          </w:p>
        </w:tc>
        <w:tc>
          <w:tcPr>
            <w:tcW w:w="357" w:type="pct"/>
            <w:tcBorders>
              <w:top w:val="single" w:sz="4" w:space="0" w:color="auto"/>
              <w:left w:val="single" w:sz="4" w:space="0" w:color="auto"/>
            </w:tcBorders>
            <w:shd w:val="clear" w:color="auto" w:fill="FFFFFF"/>
            <w:vAlign w:val="center"/>
          </w:tcPr>
          <w:p w14:paraId="2AC5B911"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7E599AC9"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4E941A83"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5223E6" w:rsidRPr="005223E6" w14:paraId="1192B0B4" w14:textId="77777777" w:rsidTr="00D23B44">
        <w:trPr>
          <w:trHeight w:val="20"/>
          <w:jc w:val="center"/>
        </w:trPr>
        <w:tc>
          <w:tcPr>
            <w:tcW w:w="334" w:type="pct"/>
            <w:tcBorders>
              <w:top w:val="single" w:sz="4" w:space="0" w:color="auto"/>
              <w:left w:val="single" w:sz="4" w:space="0" w:color="auto"/>
            </w:tcBorders>
            <w:shd w:val="clear" w:color="auto" w:fill="FFFFFF"/>
            <w:vAlign w:val="center"/>
          </w:tcPr>
          <w:p w14:paraId="397251F1"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3</w:t>
            </w:r>
          </w:p>
        </w:tc>
        <w:tc>
          <w:tcPr>
            <w:tcW w:w="3516" w:type="pct"/>
            <w:gridSpan w:val="2"/>
            <w:tcBorders>
              <w:top w:val="single" w:sz="4" w:space="0" w:color="auto"/>
              <w:left w:val="single" w:sz="4" w:space="0" w:color="auto"/>
            </w:tcBorders>
            <w:shd w:val="clear" w:color="auto" w:fill="FFFFFF"/>
            <w:vAlign w:val="center"/>
          </w:tcPr>
          <w:p w14:paraId="71BE5CBF"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Thực hiện việc triệu hồi sản phẩm bị lỗi kỹ thuật</w:t>
            </w:r>
          </w:p>
        </w:tc>
        <w:tc>
          <w:tcPr>
            <w:tcW w:w="357" w:type="pct"/>
            <w:tcBorders>
              <w:top w:val="single" w:sz="4" w:space="0" w:color="auto"/>
              <w:left w:val="single" w:sz="4" w:space="0" w:color="auto"/>
            </w:tcBorders>
            <w:shd w:val="clear" w:color="auto" w:fill="FFFFFF"/>
            <w:vAlign w:val="center"/>
          </w:tcPr>
          <w:p w14:paraId="2EF8EF31"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1EFD028B"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6B575CDE"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7E563034" w14:textId="77777777" w:rsidTr="00D23B44">
        <w:trPr>
          <w:trHeight w:val="20"/>
          <w:jc w:val="center"/>
        </w:trPr>
        <w:tc>
          <w:tcPr>
            <w:tcW w:w="334" w:type="pct"/>
            <w:vMerge w:val="restart"/>
            <w:tcBorders>
              <w:top w:val="single" w:sz="4" w:space="0" w:color="auto"/>
              <w:left w:val="single" w:sz="4" w:space="0" w:color="auto"/>
            </w:tcBorders>
            <w:shd w:val="clear" w:color="auto" w:fill="FFFFFF"/>
            <w:vAlign w:val="center"/>
          </w:tcPr>
          <w:p w14:paraId="4391AD33"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br w:type="page"/>
            </w:r>
          </w:p>
        </w:tc>
        <w:tc>
          <w:tcPr>
            <w:tcW w:w="3516" w:type="pct"/>
            <w:gridSpan w:val="2"/>
            <w:tcBorders>
              <w:top w:val="single" w:sz="4" w:space="0" w:color="auto"/>
              <w:left w:val="single" w:sz="4" w:space="0" w:color="auto"/>
              <w:bottom w:val="single" w:sz="4" w:space="0" w:color="auto"/>
            </w:tcBorders>
            <w:shd w:val="clear" w:color="auto" w:fill="FFFFFF"/>
            <w:vAlign w:val="center"/>
          </w:tcPr>
          <w:p w14:paraId="46AE6621"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Không có sản phẩm triệu hồi hoặc chủ động thực hiện triệu hồi và báo cáo đúng quy định.</w:t>
            </w:r>
          </w:p>
        </w:tc>
        <w:tc>
          <w:tcPr>
            <w:tcW w:w="357" w:type="pct"/>
            <w:tcBorders>
              <w:top w:val="single" w:sz="4" w:space="0" w:color="auto"/>
              <w:left w:val="single" w:sz="4" w:space="0" w:color="auto"/>
              <w:bottom w:val="single" w:sz="4" w:space="0" w:color="auto"/>
            </w:tcBorders>
            <w:shd w:val="clear" w:color="auto" w:fill="FFFFFF"/>
            <w:vAlign w:val="center"/>
          </w:tcPr>
          <w:p w14:paraId="2B90C958"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w:t>
            </w:r>
          </w:p>
        </w:tc>
        <w:tc>
          <w:tcPr>
            <w:tcW w:w="395" w:type="pct"/>
            <w:tcBorders>
              <w:top w:val="single" w:sz="4" w:space="0" w:color="auto"/>
              <w:left w:val="single" w:sz="4" w:space="0" w:color="auto"/>
              <w:bottom w:val="single" w:sz="4" w:space="0" w:color="auto"/>
            </w:tcBorders>
            <w:shd w:val="clear" w:color="auto" w:fill="FFFFFF"/>
            <w:vAlign w:val="center"/>
          </w:tcPr>
          <w:p w14:paraId="6C890823"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bottom w:val="single" w:sz="4" w:space="0" w:color="auto"/>
              <w:right w:val="single" w:sz="4" w:space="0" w:color="auto"/>
            </w:tcBorders>
            <w:shd w:val="clear" w:color="auto" w:fill="FFFFFF"/>
            <w:vAlign w:val="center"/>
          </w:tcPr>
          <w:p w14:paraId="600A1861"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0E7E78A2" w14:textId="77777777" w:rsidTr="00D23B44">
        <w:trPr>
          <w:trHeight w:val="20"/>
          <w:jc w:val="center"/>
        </w:trPr>
        <w:tc>
          <w:tcPr>
            <w:tcW w:w="334" w:type="pct"/>
            <w:vMerge/>
            <w:tcBorders>
              <w:left w:val="single" w:sz="4" w:space="0" w:color="auto"/>
            </w:tcBorders>
            <w:shd w:val="clear" w:color="auto" w:fill="FFFFFF"/>
            <w:vAlign w:val="center"/>
          </w:tcPr>
          <w:p w14:paraId="4B843B78"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2AEA38BF"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Chậm trễ trong việc thực hiện triệu hồi theo kế hoạch, báo cáo không kịp thời.</w:t>
            </w:r>
          </w:p>
        </w:tc>
        <w:tc>
          <w:tcPr>
            <w:tcW w:w="357" w:type="pct"/>
            <w:tcBorders>
              <w:top w:val="single" w:sz="4" w:space="0" w:color="auto"/>
              <w:left w:val="single" w:sz="4" w:space="0" w:color="auto"/>
            </w:tcBorders>
            <w:shd w:val="clear" w:color="auto" w:fill="FFFFFF"/>
            <w:vAlign w:val="center"/>
          </w:tcPr>
          <w:p w14:paraId="768FBC2B"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0332B416"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w:t>
            </w:r>
          </w:p>
        </w:tc>
        <w:tc>
          <w:tcPr>
            <w:tcW w:w="398" w:type="pct"/>
            <w:tcBorders>
              <w:top w:val="single" w:sz="4" w:space="0" w:color="auto"/>
              <w:left w:val="single" w:sz="4" w:space="0" w:color="auto"/>
              <w:right w:val="single" w:sz="4" w:space="0" w:color="auto"/>
            </w:tcBorders>
            <w:shd w:val="clear" w:color="auto" w:fill="FFFFFF"/>
            <w:vAlign w:val="center"/>
          </w:tcPr>
          <w:p w14:paraId="4B336A36" w14:textId="77777777" w:rsidR="00C911A0" w:rsidRPr="005223E6" w:rsidRDefault="00C911A0" w:rsidP="00B4267B">
            <w:pPr>
              <w:widowControl w:val="0"/>
              <w:jc w:val="center"/>
              <w:rPr>
                <w:rFonts w:eastAsia="Courier New" w:cs="Arial"/>
                <w:color w:val="000000" w:themeColor="text1"/>
                <w:szCs w:val="20"/>
                <w:lang w:eastAsia="vi-VN" w:bidi="vi-VN"/>
              </w:rPr>
            </w:pPr>
          </w:p>
        </w:tc>
      </w:tr>
      <w:tr w:rsidR="005223E6" w:rsidRPr="005223E6" w14:paraId="0AFE659C" w14:textId="77777777" w:rsidTr="00D23B44">
        <w:trPr>
          <w:trHeight w:val="20"/>
          <w:jc w:val="center"/>
        </w:trPr>
        <w:tc>
          <w:tcPr>
            <w:tcW w:w="334" w:type="pct"/>
            <w:vMerge/>
            <w:tcBorders>
              <w:left w:val="single" w:sz="4" w:space="0" w:color="auto"/>
            </w:tcBorders>
            <w:shd w:val="clear" w:color="auto" w:fill="FFFFFF"/>
            <w:vAlign w:val="center"/>
          </w:tcPr>
          <w:p w14:paraId="24E68F42"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516" w:type="pct"/>
            <w:gridSpan w:val="2"/>
            <w:tcBorders>
              <w:top w:val="single" w:sz="4" w:space="0" w:color="auto"/>
              <w:left w:val="single" w:sz="4" w:space="0" w:color="auto"/>
            </w:tcBorders>
            <w:shd w:val="clear" w:color="auto" w:fill="FFFFFF"/>
            <w:vAlign w:val="center"/>
          </w:tcPr>
          <w:p w14:paraId="3C12977E"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Cơ quan chứng nhận bắt buộc thực hiện triệu hồi.</w:t>
            </w:r>
          </w:p>
        </w:tc>
        <w:tc>
          <w:tcPr>
            <w:tcW w:w="357" w:type="pct"/>
            <w:tcBorders>
              <w:top w:val="single" w:sz="4" w:space="0" w:color="auto"/>
              <w:left w:val="single" w:sz="4" w:space="0" w:color="auto"/>
            </w:tcBorders>
            <w:shd w:val="clear" w:color="auto" w:fill="FFFFFF"/>
            <w:vAlign w:val="center"/>
          </w:tcPr>
          <w:p w14:paraId="304A7F50"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5" w:type="pct"/>
            <w:tcBorders>
              <w:top w:val="single" w:sz="4" w:space="0" w:color="auto"/>
              <w:left w:val="single" w:sz="4" w:space="0" w:color="auto"/>
            </w:tcBorders>
            <w:shd w:val="clear" w:color="auto" w:fill="FFFFFF"/>
            <w:vAlign w:val="center"/>
          </w:tcPr>
          <w:p w14:paraId="3502DEEE"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98" w:type="pct"/>
            <w:tcBorders>
              <w:top w:val="single" w:sz="4" w:space="0" w:color="auto"/>
              <w:left w:val="single" w:sz="4" w:space="0" w:color="auto"/>
              <w:right w:val="single" w:sz="4" w:space="0" w:color="auto"/>
            </w:tcBorders>
            <w:shd w:val="clear" w:color="auto" w:fill="FFFFFF"/>
            <w:vAlign w:val="center"/>
          </w:tcPr>
          <w:p w14:paraId="4A2F1326"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w:t>
            </w:r>
          </w:p>
        </w:tc>
      </w:tr>
      <w:tr w:rsidR="00C911A0" w:rsidRPr="005223E6" w14:paraId="02C1CA0B" w14:textId="77777777" w:rsidTr="00D23B44">
        <w:trPr>
          <w:trHeight w:val="2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5C8CCC1D"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b/>
                <w:bCs/>
                <w:i/>
                <w:iCs/>
                <w:color w:val="000000" w:themeColor="text1"/>
                <w:szCs w:val="20"/>
                <w:lang w:eastAsia="vi-VN" w:bidi="vi-VN"/>
              </w:rPr>
              <w:t>Hướng dẫn thực hiện:</w:t>
            </w:r>
          </w:p>
          <w:p w14:paraId="207F6874"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i/>
                <w:iCs/>
                <w:color w:val="000000" w:themeColor="text1"/>
                <w:szCs w:val="20"/>
                <w:vertAlign w:val="superscript"/>
                <w:lang w:eastAsia="vi-VN" w:bidi="vi-VN"/>
              </w:rPr>
              <w:t>(1)</w:t>
            </w:r>
            <w:r w:rsidRPr="005223E6">
              <w:rPr>
                <w:rFonts w:eastAsia="Courier New" w:cs="Arial"/>
                <w:i/>
                <w:iCs/>
                <w:color w:val="000000" w:themeColor="text1"/>
                <w:szCs w:val="20"/>
                <w:lang w:eastAsia="vi-VN" w:bidi="vi-VN"/>
              </w:rPr>
              <w:t>: điểm mức độ rủi ro được xem xét ở kỳ đánh giá tiếp theo. Giữa các kỳ đánh giá, nếu có yếu tố làm thay đổi điểm đánh giá mức độ rủi ro, Cơ quan chứng nhận phải cập nhật và xử lý kịp thời. Tại thời điểm đánh giá lần đầu, các hạng mục đánh giá 2 và 3 của mục II được mặc định tính điểm cao nhất.</w:t>
            </w:r>
          </w:p>
          <w:p w14:paraId="52D6DD8A"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i/>
                <w:iCs/>
                <w:color w:val="000000" w:themeColor="text1"/>
                <w:szCs w:val="20"/>
                <w:vertAlign w:val="superscript"/>
                <w:lang w:eastAsia="vi-VN" w:bidi="vi-VN"/>
              </w:rPr>
              <w:t>(2)</w:t>
            </w:r>
            <w:r w:rsidRPr="005223E6">
              <w:rPr>
                <w:rFonts w:eastAsia="Courier New" w:cs="Arial"/>
                <w:i/>
                <w:iCs/>
                <w:color w:val="000000" w:themeColor="text1"/>
                <w:szCs w:val="20"/>
                <w:lang w:eastAsia="vi-VN" w:bidi="vi-VN"/>
              </w:rPr>
              <w:t>: nếu cơ sở sản xuất lắp nhiều loại xe thì tính điểm theo loại xe có điểm cao nhất.</w:t>
            </w:r>
          </w:p>
          <w:p w14:paraId="17FDE834"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i/>
                <w:iCs/>
                <w:color w:val="000000" w:themeColor="text1"/>
                <w:szCs w:val="20"/>
                <w:vertAlign w:val="superscript"/>
                <w:lang w:eastAsia="vi-VN" w:bidi="vi-VN"/>
              </w:rPr>
              <w:t>(3)</w:t>
            </w:r>
            <w:r w:rsidRPr="005223E6">
              <w:rPr>
                <w:rFonts w:eastAsia="Courier New" w:cs="Arial"/>
                <w:i/>
                <w:iCs/>
                <w:color w:val="000000" w:themeColor="text1"/>
                <w:szCs w:val="20"/>
                <w:lang w:eastAsia="vi-VN" w:bidi="vi-VN"/>
              </w:rPr>
              <w:t>: cơ sở sản xuất sẽ chuyển sang nhóm 2 hoặc 3 nếu vi phạm quy định nêu tại Thông tư này.</w:t>
            </w:r>
          </w:p>
        </w:tc>
      </w:tr>
    </w:tbl>
    <w:p w14:paraId="5F70AF7B" w14:textId="77777777" w:rsidR="00C911A0" w:rsidRPr="005223E6" w:rsidRDefault="00C911A0" w:rsidP="00B4267B">
      <w:pPr>
        <w:widowControl w:val="0"/>
        <w:rPr>
          <w:rFonts w:eastAsia="Courier New" w:cs="Arial"/>
          <w:color w:val="000000" w:themeColor="text1"/>
          <w:szCs w:val="20"/>
          <w:lang w:eastAsia="vi-VN" w:bidi="vi-VN"/>
        </w:rPr>
      </w:pPr>
    </w:p>
    <w:p w14:paraId="0108F754"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2. Áp dụng biện pháp quản lý cho từng nhóm cơ sở sản xuất</w:t>
      </w:r>
    </w:p>
    <w:p w14:paraId="5004FC60"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Biện pháp quản lý áp dụng cho từng nhóm cơ sở sản xuất theo mức độ rủi ro được quy định chi tiết tại Bảng 2 dưới đây:</w:t>
      </w:r>
    </w:p>
    <w:p w14:paraId="6A52C4D1" w14:textId="77777777" w:rsidR="00C911A0" w:rsidRPr="005223E6" w:rsidRDefault="00C911A0" w:rsidP="00B4267B">
      <w:pPr>
        <w:widowControl w:val="0"/>
        <w:spacing w:after="120"/>
        <w:jc w:val="center"/>
        <w:rPr>
          <w:rFonts w:eastAsia="Courier New" w:cs="Arial"/>
          <w:b/>
          <w:i/>
          <w:iCs/>
          <w:color w:val="000000" w:themeColor="text1"/>
          <w:szCs w:val="20"/>
          <w:lang w:eastAsia="vi-VN" w:bidi="vi-VN"/>
        </w:rPr>
      </w:pPr>
      <w:r w:rsidRPr="005223E6">
        <w:rPr>
          <w:rFonts w:eastAsia="Courier New" w:cs="Arial"/>
          <w:b/>
          <w:bCs/>
          <w:i/>
          <w:iCs/>
          <w:color w:val="000000" w:themeColor="text1"/>
          <w:szCs w:val="20"/>
          <w:lang w:eastAsia="vi-VN" w:bidi="vi-VN"/>
        </w:rPr>
        <w:t xml:space="preserve">Bảng </w:t>
      </w:r>
      <w:r w:rsidRPr="005223E6">
        <w:rPr>
          <w:rFonts w:eastAsia="Courier New" w:cs="Arial"/>
          <w:b/>
          <w:i/>
          <w:iCs/>
          <w:color w:val="000000" w:themeColor="text1"/>
          <w:szCs w:val="20"/>
          <w:lang w:eastAsia="vi-VN" w:bidi="vi-VN"/>
        </w:rPr>
        <w:t>2</w:t>
      </w:r>
      <w:r w:rsidRPr="005223E6">
        <w:rPr>
          <w:rFonts w:eastAsia="Courier New" w:cs="Arial"/>
          <w:b/>
          <w:color w:val="000000" w:themeColor="text1"/>
          <w:szCs w:val="20"/>
          <w:lang w:eastAsia="vi-VN" w:bidi="vi-VN"/>
        </w:rPr>
        <w:t xml:space="preserve"> - </w:t>
      </w:r>
      <w:r w:rsidRPr="005223E6">
        <w:rPr>
          <w:rFonts w:eastAsia="Courier New" w:cs="Arial"/>
          <w:b/>
          <w:bCs/>
          <w:i/>
          <w:iCs/>
          <w:color w:val="000000" w:themeColor="text1"/>
          <w:szCs w:val="20"/>
          <w:lang w:eastAsia="vi-VN" w:bidi="vi-VN"/>
        </w:rPr>
        <w:t xml:space="preserve">Biện </w:t>
      </w:r>
      <w:r w:rsidRPr="005223E6">
        <w:rPr>
          <w:rFonts w:eastAsia="Courier New" w:cs="Arial"/>
          <w:b/>
          <w:i/>
          <w:iCs/>
          <w:color w:val="000000" w:themeColor="text1"/>
          <w:szCs w:val="20"/>
          <w:lang w:eastAsia="vi-VN" w:bidi="vi-VN"/>
        </w:rPr>
        <w:t xml:space="preserve">pháp </w:t>
      </w:r>
      <w:r w:rsidRPr="005223E6">
        <w:rPr>
          <w:rFonts w:eastAsia="Courier New" w:cs="Arial"/>
          <w:b/>
          <w:bCs/>
          <w:i/>
          <w:iCs/>
          <w:color w:val="000000" w:themeColor="text1"/>
          <w:szCs w:val="20"/>
          <w:lang w:eastAsia="vi-VN" w:bidi="vi-VN"/>
        </w:rPr>
        <w:t xml:space="preserve">quản </w:t>
      </w:r>
      <w:r w:rsidRPr="005223E6">
        <w:rPr>
          <w:rFonts w:eastAsia="Courier New" w:cs="Arial"/>
          <w:b/>
          <w:i/>
          <w:iCs/>
          <w:color w:val="000000" w:themeColor="text1"/>
          <w:szCs w:val="20"/>
          <w:lang w:eastAsia="vi-VN" w:bidi="vi-VN"/>
        </w:rPr>
        <w:t xml:space="preserve">lý áp </w:t>
      </w:r>
      <w:r w:rsidRPr="005223E6">
        <w:rPr>
          <w:rFonts w:eastAsia="Courier New" w:cs="Arial"/>
          <w:b/>
          <w:bCs/>
          <w:i/>
          <w:iCs/>
          <w:color w:val="000000" w:themeColor="text1"/>
          <w:szCs w:val="20"/>
          <w:lang w:eastAsia="vi-VN" w:bidi="vi-VN"/>
        </w:rPr>
        <w:t xml:space="preserve">dụng </w:t>
      </w:r>
      <w:r w:rsidRPr="005223E6">
        <w:rPr>
          <w:rFonts w:eastAsia="Courier New" w:cs="Arial"/>
          <w:b/>
          <w:i/>
          <w:iCs/>
          <w:color w:val="000000" w:themeColor="text1"/>
          <w:szCs w:val="20"/>
          <w:lang w:eastAsia="vi-VN" w:bidi="vi-VN"/>
        </w:rPr>
        <w:t xml:space="preserve">cho </w:t>
      </w:r>
      <w:r w:rsidRPr="005223E6">
        <w:rPr>
          <w:rFonts w:eastAsia="Courier New" w:cs="Arial"/>
          <w:b/>
          <w:bCs/>
          <w:i/>
          <w:iCs/>
          <w:color w:val="000000" w:themeColor="text1"/>
          <w:szCs w:val="20"/>
          <w:lang w:eastAsia="vi-VN" w:bidi="vi-VN"/>
        </w:rPr>
        <w:t xml:space="preserve">từng </w:t>
      </w:r>
      <w:r w:rsidRPr="005223E6">
        <w:rPr>
          <w:rFonts w:eastAsia="Courier New" w:cs="Arial"/>
          <w:b/>
          <w:i/>
          <w:iCs/>
          <w:color w:val="000000" w:themeColor="text1"/>
          <w:szCs w:val="20"/>
          <w:lang w:eastAsia="vi-VN" w:bidi="vi-VN"/>
        </w:rPr>
        <w:t xml:space="preserve">nhóm </w:t>
      </w:r>
      <w:r w:rsidRPr="005223E6">
        <w:rPr>
          <w:rFonts w:eastAsia="Courier New" w:cs="Arial"/>
          <w:b/>
          <w:bCs/>
          <w:i/>
          <w:iCs/>
          <w:color w:val="000000" w:themeColor="text1"/>
          <w:szCs w:val="20"/>
          <w:lang w:eastAsia="vi-VN" w:bidi="vi-VN"/>
        </w:rPr>
        <w:t>cơ sở sản xuất</w:t>
      </w:r>
    </w:p>
    <w:tbl>
      <w:tblPr>
        <w:tblOverlap w:val="never"/>
        <w:tblW w:w="5000" w:type="pct"/>
        <w:jc w:val="center"/>
        <w:tblCellMar>
          <w:left w:w="10" w:type="dxa"/>
          <w:right w:w="10" w:type="dxa"/>
        </w:tblCellMar>
        <w:tblLook w:val="0000" w:firstRow="0" w:lastRow="0" w:firstColumn="0" w:lastColumn="0" w:noHBand="0" w:noVBand="0"/>
      </w:tblPr>
      <w:tblGrid>
        <w:gridCol w:w="652"/>
        <w:gridCol w:w="5503"/>
        <w:gridCol w:w="939"/>
        <w:gridCol w:w="968"/>
        <w:gridCol w:w="948"/>
      </w:tblGrid>
      <w:tr w:rsidR="005223E6" w:rsidRPr="005223E6" w14:paraId="76FBFCEF" w14:textId="77777777" w:rsidTr="00D23B44">
        <w:trPr>
          <w:trHeight w:val="20"/>
          <w:jc w:val="center"/>
        </w:trPr>
        <w:tc>
          <w:tcPr>
            <w:tcW w:w="362" w:type="pct"/>
            <w:vMerge w:val="restart"/>
            <w:tcBorders>
              <w:top w:val="single" w:sz="4" w:space="0" w:color="auto"/>
              <w:left w:val="single" w:sz="4" w:space="0" w:color="auto"/>
            </w:tcBorders>
            <w:shd w:val="clear" w:color="auto" w:fill="FFFFFF"/>
            <w:vAlign w:val="center"/>
          </w:tcPr>
          <w:p w14:paraId="04557858"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lastRenderedPageBreak/>
              <w:t>TT</w:t>
            </w:r>
          </w:p>
        </w:tc>
        <w:tc>
          <w:tcPr>
            <w:tcW w:w="3054" w:type="pct"/>
            <w:vMerge w:val="restart"/>
            <w:tcBorders>
              <w:top w:val="single" w:sz="4" w:space="0" w:color="auto"/>
              <w:left w:val="single" w:sz="4" w:space="0" w:color="auto"/>
            </w:tcBorders>
            <w:shd w:val="clear" w:color="auto" w:fill="FFFFFF"/>
            <w:vAlign w:val="center"/>
          </w:tcPr>
          <w:p w14:paraId="5DF68974"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Biện pháp quản lý</w:t>
            </w:r>
          </w:p>
        </w:tc>
        <w:tc>
          <w:tcPr>
            <w:tcW w:w="1584" w:type="pct"/>
            <w:gridSpan w:val="3"/>
            <w:tcBorders>
              <w:top w:val="single" w:sz="4" w:space="0" w:color="auto"/>
              <w:left w:val="single" w:sz="4" w:space="0" w:color="auto"/>
              <w:right w:val="single" w:sz="4" w:space="0" w:color="auto"/>
            </w:tcBorders>
            <w:shd w:val="clear" w:color="auto" w:fill="FFFFFF"/>
            <w:vAlign w:val="center"/>
          </w:tcPr>
          <w:p w14:paraId="56041DE7"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Nhóm cơ sở sản xuất</w:t>
            </w:r>
          </w:p>
        </w:tc>
      </w:tr>
      <w:tr w:rsidR="005223E6" w:rsidRPr="005223E6" w14:paraId="09554AB0" w14:textId="77777777" w:rsidTr="00D23B44">
        <w:trPr>
          <w:trHeight w:val="20"/>
          <w:jc w:val="center"/>
        </w:trPr>
        <w:tc>
          <w:tcPr>
            <w:tcW w:w="362" w:type="pct"/>
            <w:vMerge/>
            <w:tcBorders>
              <w:left w:val="single" w:sz="4" w:space="0" w:color="auto"/>
            </w:tcBorders>
            <w:shd w:val="clear" w:color="auto" w:fill="FFFFFF"/>
            <w:vAlign w:val="center"/>
          </w:tcPr>
          <w:p w14:paraId="3C234ABF" w14:textId="77777777" w:rsidR="00C911A0" w:rsidRPr="005223E6" w:rsidRDefault="00C911A0" w:rsidP="00B4267B">
            <w:pPr>
              <w:widowControl w:val="0"/>
              <w:jc w:val="center"/>
              <w:rPr>
                <w:rFonts w:eastAsia="Courier New" w:cs="Arial"/>
                <w:color w:val="000000" w:themeColor="text1"/>
                <w:szCs w:val="20"/>
                <w:lang w:eastAsia="vi-VN" w:bidi="vi-VN"/>
              </w:rPr>
            </w:pPr>
          </w:p>
        </w:tc>
        <w:tc>
          <w:tcPr>
            <w:tcW w:w="3054" w:type="pct"/>
            <w:vMerge/>
            <w:tcBorders>
              <w:left w:val="single" w:sz="4" w:space="0" w:color="auto"/>
            </w:tcBorders>
            <w:shd w:val="clear" w:color="auto" w:fill="FFFFFF"/>
            <w:vAlign w:val="center"/>
          </w:tcPr>
          <w:p w14:paraId="30F746D9" w14:textId="77777777" w:rsidR="00C911A0" w:rsidRPr="005223E6" w:rsidRDefault="00C911A0" w:rsidP="00B4267B">
            <w:pPr>
              <w:widowControl w:val="0"/>
              <w:rPr>
                <w:rFonts w:eastAsia="Courier New" w:cs="Arial"/>
                <w:color w:val="000000" w:themeColor="text1"/>
                <w:szCs w:val="20"/>
                <w:lang w:eastAsia="vi-VN" w:bidi="vi-VN"/>
              </w:rPr>
            </w:pPr>
          </w:p>
        </w:tc>
        <w:tc>
          <w:tcPr>
            <w:tcW w:w="521" w:type="pct"/>
            <w:tcBorders>
              <w:top w:val="single" w:sz="4" w:space="0" w:color="auto"/>
              <w:left w:val="single" w:sz="4" w:space="0" w:color="auto"/>
            </w:tcBorders>
            <w:shd w:val="clear" w:color="auto" w:fill="FFFFFF"/>
            <w:vAlign w:val="center"/>
          </w:tcPr>
          <w:p w14:paraId="1965B4EC"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1</w:t>
            </w:r>
          </w:p>
        </w:tc>
        <w:tc>
          <w:tcPr>
            <w:tcW w:w="537" w:type="pct"/>
            <w:tcBorders>
              <w:top w:val="single" w:sz="4" w:space="0" w:color="auto"/>
              <w:left w:val="single" w:sz="4" w:space="0" w:color="auto"/>
            </w:tcBorders>
            <w:shd w:val="clear" w:color="auto" w:fill="FFFFFF"/>
            <w:vAlign w:val="center"/>
          </w:tcPr>
          <w:p w14:paraId="6DDA7D26"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2</w:t>
            </w:r>
          </w:p>
        </w:tc>
        <w:tc>
          <w:tcPr>
            <w:tcW w:w="526" w:type="pct"/>
            <w:tcBorders>
              <w:top w:val="single" w:sz="4" w:space="0" w:color="auto"/>
              <w:left w:val="single" w:sz="4" w:space="0" w:color="auto"/>
              <w:right w:val="single" w:sz="4" w:space="0" w:color="auto"/>
            </w:tcBorders>
            <w:shd w:val="clear" w:color="auto" w:fill="FFFFFF"/>
            <w:vAlign w:val="center"/>
          </w:tcPr>
          <w:p w14:paraId="72001C94"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3</w:t>
            </w:r>
          </w:p>
        </w:tc>
      </w:tr>
      <w:tr w:rsidR="005223E6" w:rsidRPr="005223E6" w14:paraId="7FF774DC" w14:textId="77777777" w:rsidTr="00D23B44">
        <w:trPr>
          <w:trHeight w:val="20"/>
          <w:jc w:val="center"/>
        </w:trPr>
        <w:tc>
          <w:tcPr>
            <w:tcW w:w="362" w:type="pct"/>
            <w:tcBorders>
              <w:top w:val="single" w:sz="4" w:space="0" w:color="auto"/>
              <w:left w:val="single" w:sz="4" w:space="0" w:color="auto"/>
            </w:tcBorders>
            <w:shd w:val="clear" w:color="auto" w:fill="FFFFFF"/>
            <w:vAlign w:val="center"/>
          </w:tcPr>
          <w:p w14:paraId="281EEB3A"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1</w:t>
            </w:r>
          </w:p>
        </w:tc>
        <w:tc>
          <w:tcPr>
            <w:tcW w:w="3054" w:type="pct"/>
            <w:tcBorders>
              <w:top w:val="single" w:sz="4" w:space="0" w:color="auto"/>
              <w:left w:val="single" w:sz="4" w:space="0" w:color="auto"/>
            </w:tcBorders>
            <w:shd w:val="clear" w:color="auto" w:fill="FFFFFF"/>
            <w:vAlign w:val="center"/>
          </w:tcPr>
          <w:p w14:paraId="4532C6C5"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Chu kỳ đánh giá COP</w:t>
            </w:r>
          </w:p>
        </w:tc>
        <w:tc>
          <w:tcPr>
            <w:tcW w:w="521" w:type="pct"/>
            <w:tcBorders>
              <w:top w:val="single" w:sz="4" w:space="0" w:color="auto"/>
              <w:left w:val="single" w:sz="4" w:space="0" w:color="auto"/>
            </w:tcBorders>
            <w:shd w:val="clear" w:color="auto" w:fill="FFFFFF"/>
            <w:vAlign w:val="center"/>
          </w:tcPr>
          <w:p w14:paraId="48003DF8"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36 tháng</w:t>
            </w:r>
          </w:p>
        </w:tc>
        <w:tc>
          <w:tcPr>
            <w:tcW w:w="537" w:type="pct"/>
            <w:tcBorders>
              <w:top w:val="single" w:sz="4" w:space="0" w:color="auto"/>
              <w:left w:val="single" w:sz="4" w:space="0" w:color="auto"/>
            </w:tcBorders>
            <w:shd w:val="clear" w:color="auto" w:fill="FFFFFF"/>
            <w:vAlign w:val="center"/>
          </w:tcPr>
          <w:p w14:paraId="4C563B18"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24 tháng</w:t>
            </w:r>
          </w:p>
        </w:tc>
        <w:tc>
          <w:tcPr>
            <w:tcW w:w="526" w:type="pct"/>
            <w:tcBorders>
              <w:top w:val="single" w:sz="4" w:space="0" w:color="auto"/>
              <w:left w:val="single" w:sz="4" w:space="0" w:color="auto"/>
              <w:right w:val="single" w:sz="4" w:space="0" w:color="auto"/>
            </w:tcBorders>
            <w:shd w:val="clear" w:color="auto" w:fill="FFFFFF"/>
            <w:vAlign w:val="center"/>
          </w:tcPr>
          <w:p w14:paraId="2325E60E"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12 tháng</w:t>
            </w:r>
          </w:p>
        </w:tc>
      </w:tr>
      <w:tr w:rsidR="005223E6" w:rsidRPr="005223E6" w14:paraId="3D82E2AC" w14:textId="77777777" w:rsidTr="00D23B44">
        <w:trPr>
          <w:trHeight w:val="20"/>
          <w:jc w:val="center"/>
        </w:trPr>
        <w:tc>
          <w:tcPr>
            <w:tcW w:w="362" w:type="pct"/>
            <w:tcBorders>
              <w:top w:val="single" w:sz="4" w:space="0" w:color="auto"/>
              <w:left w:val="single" w:sz="4" w:space="0" w:color="auto"/>
              <w:bottom w:val="single" w:sz="4" w:space="0" w:color="auto"/>
            </w:tcBorders>
            <w:shd w:val="clear" w:color="auto" w:fill="FFFFFF"/>
            <w:vAlign w:val="center"/>
          </w:tcPr>
          <w:p w14:paraId="534B0A97"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3</w:t>
            </w:r>
          </w:p>
        </w:tc>
        <w:tc>
          <w:tcPr>
            <w:tcW w:w="3054" w:type="pct"/>
            <w:tcBorders>
              <w:top w:val="single" w:sz="4" w:space="0" w:color="auto"/>
              <w:left w:val="single" w:sz="4" w:space="0" w:color="auto"/>
              <w:bottom w:val="single" w:sz="4" w:space="0" w:color="auto"/>
            </w:tcBorders>
            <w:shd w:val="clear" w:color="auto" w:fill="FFFFFF"/>
            <w:vAlign w:val="center"/>
          </w:tcPr>
          <w:p w14:paraId="00E227A3" w14:textId="77777777" w:rsidR="00C911A0" w:rsidRPr="005223E6" w:rsidRDefault="00C911A0" w:rsidP="00B4267B">
            <w:pPr>
              <w:widowControl w:val="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Tần suất đánh giá trong kỳ việc duy trì điều kiện đảm bảo chất lượng</w:t>
            </w:r>
          </w:p>
        </w:tc>
        <w:tc>
          <w:tcPr>
            <w:tcW w:w="1584"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F175773" w14:textId="77777777" w:rsidR="00C911A0" w:rsidRPr="005223E6" w:rsidRDefault="00C911A0" w:rsidP="00B4267B">
            <w:pPr>
              <w:widowControl w:val="0"/>
              <w:jc w:val="center"/>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Không quá một lần</w:t>
            </w:r>
          </w:p>
        </w:tc>
      </w:tr>
    </w:tbl>
    <w:p w14:paraId="613EA44B" w14:textId="77777777" w:rsidR="00C911A0" w:rsidRPr="005223E6" w:rsidRDefault="00C911A0" w:rsidP="00B4267B">
      <w:pPr>
        <w:widowControl w:val="0"/>
        <w:spacing w:after="120"/>
        <w:ind w:firstLine="720"/>
        <w:rPr>
          <w:rFonts w:eastAsia="Courier New" w:cs="Arial"/>
          <w:i/>
          <w:iCs/>
          <w:color w:val="000000" w:themeColor="text1"/>
          <w:szCs w:val="20"/>
          <w:lang w:eastAsia="vi-VN" w:bidi="vi-VN"/>
        </w:rPr>
      </w:pPr>
      <w:r w:rsidRPr="005223E6">
        <w:rPr>
          <w:rFonts w:eastAsia="Courier New" w:cs="Arial"/>
          <w:color w:val="000000" w:themeColor="text1"/>
          <w:szCs w:val="20"/>
          <w:lang w:eastAsia="vi-VN" w:bidi="vi-VN"/>
        </w:rPr>
        <w:t>3. Phương thức cấp phôi phiếu xuất xưởng cho từng nhóm cơ sở sản xuất</w:t>
      </w:r>
    </w:p>
    <w:p w14:paraId="3B31B9D9"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bookmarkStart w:id="0" w:name="bookmark113"/>
      <w:bookmarkEnd w:id="0"/>
      <w:r w:rsidRPr="005223E6">
        <w:rPr>
          <w:rFonts w:eastAsia="Courier New" w:cs="Arial"/>
          <w:color w:val="000000" w:themeColor="text1"/>
          <w:szCs w:val="20"/>
          <w:lang w:eastAsia="vi-VN" w:bidi="vi-VN"/>
        </w:rPr>
        <w:t>3.1. Cơ quan chứng nhận cấp phôi phiếu xuất xưởng cho các sản phẩm sản xuất hàng loạt theo đề nghị của cơ sở sản xuất thuộc từng nhóm cơ sở sản xuất theo mức độ rủi ro được chia làm 3 phương thức, cụ thể như sau:</w:t>
      </w:r>
    </w:p>
    <w:p w14:paraId="7DB3832F"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a) Phương thức 1: cấp phôi phiếu xuất xưởng theo kế hoạch sản xuất tháng, quý của cơ sở sản xuất; số lượng phôi phiếu xuất xưởng tối đa được cấp không vượt quá 1,5 lần sản lượng tháng, quý liền kề của cơ sở sản xuất;</w:t>
      </w:r>
    </w:p>
    <w:p w14:paraId="6ABC9B9B"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bookmarkStart w:id="1" w:name="bookmark115"/>
      <w:bookmarkEnd w:id="1"/>
      <w:r w:rsidRPr="005223E6">
        <w:rPr>
          <w:rFonts w:eastAsia="Courier New" w:cs="Arial"/>
          <w:color w:val="000000" w:themeColor="text1"/>
          <w:szCs w:val="20"/>
          <w:lang w:eastAsia="vi-VN" w:bidi="vi-VN"/>
        </w:rPr>
        <w:t>b) Phương thức 2: cấp phôi phiếu xuất xưởng theo báo cáo kết quả kiểm tra xuất xưởng các xe cơ giới đã được thực hiện kiểm tra xuất xưởng đạt yêu cầu của cơ sở sản xuất;</w:t>
      </w:r>
    </w:p>
    <w:p w14:paraId="60AA7B1F"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bookmarkStart w:id="2" w:name="bookmark116"/>
      <w:bookmarkEnd w:id="2"/>
      <w:r w:rsidRPr="005223E6">
        <w:rPr>
          <w:rFonts w:eastAsia="Courier New" w:cs="Arial"/>
          <w:color w:val="000000" w:themeColor="text1"/>
          <w:szCs w:val="20"/>
          <w:lang w:eastAsia="vi-VN" w:bidi="vi-VN"/>
        </w:rPr>
        <w:t>c) Phương thức 3: cấp phôi phiếu xuất xưởng theo báo cáo kết quả kiểm tra các xe xuất xưởng đạt yêu cầu của cơ sở sản xuất và kết quả thực hiện giám sát kiểm tra chất lượng xuất xưởng đạt yêu cầu của Cơ quan chứng nhận.</w:t>
      </w:r>
    </w:p>
    <w:p w14:paraId="07425119"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bookmarkStart w:id="3" w:name="bookmark117"/>
      <w:bookmarkEnd w:id="3"/>
      <w:r w:rsidRPr="005223E6">
        <w:rPr>
          <w:rFonts w:eastAsia="Courier New" w:cs="Arial"/>
          <w:color w:val="000000" w:themeColor="text1"/>
          <w:szCs w:val="20"/>
          <w:lang w:eastAsia="vi-VN" w:bidi="vi-VN"/>
        </w:rPr>
        <w:t>3.2. Tiêu chí cơ bản áp dụng các phương thức</w:t>
      </w:r>
    </w:p>
    <w:p w14:paraId="162DD0BA"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bookmarkStart w:id="4" w:name="bookmark118"/>
      <w:bookmarkEnd w:id="4"/>
      <w:r w:rsidRPr="005223E6">
        <w:rPr>
          <w:rFonts w:eastAsia="Courier New" w:cs="Arial"/>
          <w:color w:val="000000" w:themeColor="text1"/>
          <w:szCs w:val="20"/>
          <w:lang w:eastAsia="vi-VN" w:bidi="vi-VN"/>
        </w:rPr>
        <w:t>a) Phương thức 1 áp dụng cho các cơ sở sản xuất đáp ứng được các yêu cầu sau:</w:t>
      </w:r>
    </w:p>
    <w:p w14:paraId="76AD1C39"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(i) Sản lượng sản xuất trung bình hàng tháng: tính cho 06 tháng gần nhất không ít hơn 2000 xe đối với cơ sở sản xuất xe mô tô, xe gắn máy hoặc không ít hơn 200 xe đối với cơ sở sản xuất các loại xe khác; Không áp dụng yêu cầu này đối với cơ sở sản xuất thuộc nhóm 1 (có mức độ rủi ro thấp);</w:t>
      </w:r>
    </w:p>
    <w:p w14:paraId="6A20C0CC"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(ii) Nhóm cơ sở sản xuất được áp dụng: thuộc nhóm 1 (có mức độ rủi ro thấp) hoặc nhóm 2 (có mức độ rủi ro trung bình);</w:t>
      </w:r>
    </w:p>
    <w:p w14:paraId="05914953"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(iii) Mức độ tuân thủ quy định: tuân thủ đầy đủ các quy định nêu tại Thông tư này; được áp dụng hình thức tự kiểm tra xuất xưởng và không vi phạm các quy định hoặc các vi phạm (nếu có) đã được khắc phục (hoặc có biện pháp khắc phục được Cơ quan chứng nhận chất lượng xem xét chấp thuận) trong phạm vi thời gian xem xét 12 tháng trở về trước tính từ thời điểm xem xét;</w:t>
      </w:r>
    </w:p>
    <w:p w14:paraId="31B6A841"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b) Phương thức 2 áp dụng cho các cơ sở sản xuất đáp ứng được các yêu cầu sau:</w:t>
      </w:r>
    </w:p>
    <w:p w14:paraId="47619ACE"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(i) Cơ sở sản xuất chưa đáp ứng được đầy đủ các tiêu chí nêu tại phương thức 1;</w:t>
      </w:r>
    </w:p>
    <w:p w14:paraId="067CBED6"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(ii) Nhóm cơ sở sản xuất được áp dụng: tất cả các cơ sở sản xuất;</w:t>
      </w:r>
    </w:p>
    <w:p w14:paraId="7AB1BDBA" w14:textId="77777777" w:rsidR="00C911A0" w:rsidRPr="005223E6" w:rsidRDefault="00C911A0" w:rsidP="00B4267B">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(iii) Mức độ tuân thủ quy định: được áp dụng hình thức tự kiểm tra xuất xưởng và không có các vi phạm quy định hoặc các vi phạm (nếu có) đã được khắc phục (hoặc có biện pháp khắc phục được Cơ quan chứng nhận chất lượng xem xét chấp thuận).</w:t>
      </w:r>
    </w:p>
    <w:p w14:paraId="1A13DDDA" w14:textId="77777777" w:rsidR="005223E6" w:rsidRPr="005223E6" w:rsidRDefault="00C911A0" w:rsidP="005223E6">
      <w:pPr>
        <w:widowControl w:val="0"/>
        <w:spacing w:after="120"/>
        <w:ind w:firstLine="720"/>
        <w:rPr>
          <w:rFonts w:eastAsia="Courier New" w:cs="Arial"/>
          <w:color w:val="000000" w:themeColor="text1"/>
          <w:szCs w:val="20"/>
          <w:lang w:eastAsia="vi-VN" w:bidi="vi-VN"/>
        </w:rPr>
      </w:pPr>
      <w:r w:rsidRPr="005223E6">
        <w:rPr>
          <w:rFonts w:eastAsia="Courier New" w:cs="Arial"/>
          <w:color w:val="000000" w:themeColor="text1"/>
          <w:szCs w:val="20"/>
          <w:lang w:eastAsia="vi-VN" w:bidi="vi-VN"/>
        </w:rPr>
        <w:t>c) Phương thức 3 áp dụng đối với các cơ sở sản xuất có hình thức kiểm tra xuất xưởng có sự giám sát của Cơ quan chứng nhận.</w:t>
      </w:r>
    </w:p>
    <w:p w14:paraId="1BBAFFAD" w14:textId="3A925000" w:rsidR="00133017" w:rsidRPr="005223E6" w:rsidRDefault="00C911A0" w:rsidP="005223E6">
      <w:pPr>
        <w:widowControl w:val="0"/>
        <w:spacing w:after="120"/>
        <w:ind w:firstLine="720"/>
        <w:rPr>
          <w:rFonts w:cs="Arial"/>
          <w:color w:val="000000" w:themeColor="text1"/>
          <w:szCs w:val="20"/>
        </w:rPr>
      </w:pPr>
      <w:r w:rsidRPr="005223E6">
        <w:rPr>
          <w:rFonts w:eastAsia="Courier New" w:cs="Arial"/>
          <w:color w:val="000000" w:themeColor="text1"/>
          <w:szCs w:val="20"/>
          <w:lang w:eastAsia="vi-VN" w:bidi="vi-VN"/>
        </w:rPr>
        <w:t>3.3. Khi có sự thay đổi về phương thức cấp phôi phiếu, cơ sở sản xuất sẽ được thông báo bằng văn bản hoặc qua hệ thống dịch vụ công trực tuyến hoặc hình thức phù hợp khác.</w:t>
      </w:r>
    </w:p>
    <w:sectPr w:rsidR="00133017" w:rsidRPr="005223E6"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1A0"/>
    <w:rsid w:val="0008006B"/>
    <w:rsid w:val="000A0C79"/>
    <w:rsid w:val="000D5E87"/>
    <w:rsid w:val="00133017"/>
    <w:rsid w:val="001E075F"/>
    <w:rsid w:val="00200E50"/>
    <w:rsid w:val="00222042"/>
    <w:rsid w:val="00236536"/>
    <w:rsid w:val="00324ADB"/>
    <w:rsid w:val="00327E43"/>
    <w:rsid w:val="003D5A97"/>
    <w:rsid w:val="003E2EFC"/>
    <w:rsid w:val="004475DB"/>
    <w:rsid w:val="005223E6"/>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911A0"/>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2D385"/>
  <w15:chartTrackingRefBased/>
  <w15:docId w15:val="{E969D65B-46EF-44A3-9391-09073255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11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911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911A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911A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911A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911A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911A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911A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911A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1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911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911A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911A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911A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911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911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911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911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911A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11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11A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11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911A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911A0"/>
    <w:rPr>
      <w:i/>
      <w:iCs/>
      <w:color w:val="404040" w:themeColor="text1" w:themeTint="BF"/>
    </w:rPr>
  </w:style>
  <w:style w:type="paragraph" w:styleId="ListParagraph">
    <w:name w:val="List Paragraph"/>
    <w:basedOn w:val="Normal"/>
    <w:uiPriority w:val="34"/>
    <w:qFormat/>
    <w:rsid w:val="00C911A0"/>
    <w:pPr>
      <w:ind w:left="720"/>
      <w:contextualSpacing/>
    </w:pPr>
  </w:style>
  <w:style w:type="character" w:styleId="IntenseEmphasis">
    <w:name w:val="Intense Emphasis"/>
    <w:basedOn w:val="DefaultParagraphFont"/>
    <w:uiPriority w:val="21"/>
    <w:qFormat/>
    <w:rsid w:val="00C911A0"/>
    <w:rPr>
      <w:i/>
      <w:iCs/>
      <w:color w:val="2F5496" w:themeColor="accent1" w:themeShade="BF"/>
    </w:rPr>
  </w:style>
  <w:style w:type="paragraph" w:styleId="IntenseQuote">
    <w:name w:val="Intense Quote"/>
    <w:basedOn w:val="Normal"/>
    <w:next w:val="Normal"/>
    <w:link w:val="IntenseQuoteChar"/>
    <w:uiPriority w:val="30"/>
    <w:qFormat/>
    <w:rsid w:val="00C911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911A0"/>
    <w:rPr>
      <w:i/>
      <w:iCs/>
      <w:color w:val="2F5496" w:themeColor="accent1" w:themeShade="BF"/>
    </w:rPr>
  </w:style>
  <w:style w:type="character" w:styleId="IntenseReference">
    <w:name w:val="Intense Reference"/>
    <w:basedOn w:val="DefaultParagraphFont"/>
    <w:uiPriority w:val="32"/>
    <w:qFormat/>
    <w:rsid w:val="00C911A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1304</Words>
  <Characters>7438</Characters>
  <Application>Microsoft Office Word</Application>
  <DocSecurity>0</DocSecurity>
  <Lines>61</Lines>
  <Paragraphs>17</Paragraphs>
  <ScaleCrop>false</ScaleCrop>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2025-10-08T06:34:00Z</dcterms:created>
  <dcterms:modified xsi:type="dcterms:W3CDTF">2025-10-08T06:53:00Z</dcterms:modified>
</cp:coreProperties>
</file>